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F29B7">
      <w:pPr>
        <w:tabs>
          <w:tab w:val="left" w:leader="dot" w:pos="8420"/>
        </w:tabs>
        <w:spacing w:line="360" w:lineRule="auto"/>
        <w:rPr>
          <w:rFonts w:hint="eastAsia" w:ascii="宋体" w:hAnsi="宋体"/>
        </w:rPr>
      </w:pPr>
    </w:p>
    <w:p w14:paraId="43005EAA">
      <w:pPr>
        <w:jc w:val="right"/>
        <w:rPr>
          <w:rFonts w:hint="eastAsia" w:ascii="宋体" w:hAnsi="宋体" w:cs="宋体"/>
          <w:color w:val="000000"/>
          <w:kern w:val="0"/>
          <w:sz w:val="36"/>
        </w:rPr>
      </w:pPr>
      <w:r>
        <w:rPr>
          <w:rFonts w:hint="eastAsia" w:ascii="宋体" w:hAnsi="宋体" w:eastAsia="宋体" w:cs="宋体"/>
          <w:color w:val="000000"/>
          <w:kern w:val="0"/>
          <w:sz w:val="36"/>
          <w:lang w:eastAsia="zh-CN"/>
        </w:rPr>
        <w:t>JSZCZC2025024</w:t>
      </w:r>
      <w:r>
        <w:rPr>
          <w:rFonts w:hint="eastAsia" w:ascii="宋体" w:hAnsi="宋体" w:cs="宋体"/>
          <w:color w:val="000000"/>
          <w:kern w:val="0"/>
          <w:sz w:val="36"/>
        </w:rPr>
        <w:t>号</w:t>
      </w:r>
    </w:p>
    <w:p w14:paraId="232AA537">
      <w:pPr>
        <w:rPr>
          <w:rFonts w:hint="eastAsia" w:ascii="宋体" w:hAnsi="宋体" w:cs="宋体"/>
          <w:b/>
          <w:bCs/>
          <w:color w:val="000000"/>
          <w:kern w:val="0"/>
          <w:sz w:val="44"/>
          <w:szCs w:val="44"/>
        </w:rPr>
      </w:pPr>
    </w:p>
    <w:p w14:paraId="711E8ABF">
      <w:pPr>
        <w:pStyle w:val="2"/>
        <w:rPr>
          <w:rFonts w:hint="eastAsia" w:ascii="宋体" w:hAnsi="宋体" w:cs="宋体"/>
          <w:b/>
          <w:bCs/>
          <w:color w:val="000000"/>
          <w:kern w:val="0"/>
          <w:sz w:val="44"/>
          <w:szCs w:val="44"/>
        </w:rPr>
      </w:pPr>
    </w:p>
    <w:p w14:paraId="421B21FE">
      <w:pPr>
        <w:pStyle w:val="3"/>
        <w:rPr>
          <w:rFonts w:hint="eastAsia"/>
        </w:rPr>
      </w:pPr>
    </w:p>
    <w:p w14:paraId="7CD2F279">
      <w:pPr>
        <w:pStyle w:val="3"/>
        <w:rPr>
          <w:rFonts w:hint="eastAsia"/>
        </w:rPr>
      </w:pPr>
    </w:p>
    <w:p w14:paraId="71E472C5">
      <w:pPr>
        <w:pStyle w:val="10"/>
        <w:jc w:val="center"/>
        <w:rPr>
          <w:rFonts w:hint="eastAsia"/>
          <w:color w:val="000000"/>
          <w:sz w:val="52"/>
          <w:szCs w:val="52"/>
        </w:rPr>
      </w:pPr>
      <w:r>
        <w:rPr>
          <w:rFonts w:hint="eastAsia" w:ascii="宋体" w:hAnsi="宋体" w:eastAsia="宋体" w:cs="宋体"/>
          <w:sz w:val="52"/>
          <w:szCs w:val="52"/>
          <w:lang w:eastAsia="zh-CN"/>
        </w:rPr>
        <w:t>2025-2026西花园南绿化养护工程</w:t>
      </w:r>
    </w:p>
    <w:p w14:paraId="4984388E">
      <w:pPr>
        <w:jc w:val="center"/>
        <w:rPr>
          <w:rFonts w:hint="eastAsia" w:ascii="宋体" w:hAnsi="宋体" w:cs="宋体"/>
          <w:b/>
          <w:color w:val="000000"/>
          <w:kern w:val="0"/>
          <w:sz w:val="72"/>
          <w:szCs w:val="72"/>
        </w:rPr>
      </w:pPr>
      <w:r>
        <w:rPr>
          <w:rFonts w:hint="eastAsia" w:ascii="宋体" w:hAnsi="宋体" w:cs="宋体"/>
          <w:b/>
          <w:color w:val="000000"/>
          <w:spacing w:val="100"/>
          <w:kern w:val="0"/>
          <w:sz w:val="72"/>
          <w:szCs w:val="72"/>
        </w:rPr>
        <w:t>竞争性磋商文</w:t>
      </w:r>
      <w:r>
        <w:rPr>
          <w:rFonts w:hint="eastAsia" w:ascii="宋体" w:hAnsi="宋体" w:cs="宋体"/>
          <w:b/>
          <w:color w:val="000000"/>
          <w:kern w:val="0"/>
          <w:sz w:val="72"/>
          <w:szCs w:val="72"/>
        </w:rPr>
        <w:t>件</w:t>
      </w:r>
    </w:p>
    <w:p w14:paraId="3A31BD16">
      <w:pPr>
        <w:rPr>
          <w:rFonts w:hint="eastAsia" w:ascii="宋体" w:hAnsi="宋体" w:cs="宋体"/>
          <w:color w:val="000000"/>
          <w:kern w:val="0"/>
          <w:sz w:val="36"/>
        </w:rPr>
      </w:pPr>
    </w:p>
    <w:p w14:paraId="4E7CD916">
      <w:pPr>
        <w:jc w:val="center"/>
        <w:rPr>
          <w:rFonts w:hint="eastAsia" w:ascii="宋体" w:hAnsi="宋体" w:cs="宋体"/>
          <w:color w:val="000000"/>
          <w:kern w:val="0"/>
          <w:sz w:val="36"/>
        </w:rPr>
      </w:pPr>
    </w:p>
    <w:p w14:paraId="11744F5E">
      <w:pPr>
        <w:jc w:val="center"/>
        <w:rPr>
          <w:rFonts w:hint="eastAsia" w:ascii="宋体" w:hAnsi="宋体" w:cs="宋体"/>
          <w:color w:val="000000"/>
          <w:kern w:val="0"/>
          <w:sz w:val="36"/>
        </w:rPr>
      </w:pPr>
    </w:p>
    <w:p w14:paraId="6A377DC6">
      <w:pPr>
        <w:pStyle w:val="10"/>
        <w:rPr>
          <w:rFonts w:hint="eastAsia"/>
          <w:color w:val="000000"/>
        </w:rPr>
      </w:pPr>
    </w:p>
    <w:p w14:paraId="2540E258">
      <w:pPr>
        <w:rPr>
          <w:rFonts w:hint="eastAsia"/>
          <w:color w:val="000000"/>
        </w:rPr>
      </w:pPr>
    </w:p>
    <w:p w14:paraId="30631E9D">
      <w:pPr>
        <w:rPr>
          <w:rFonts w:hint="eastAsia" w:ascii="宋体" w:hAnsi="宋体" w:cs="宋体"/>
          <w:color w:val="000000"/>
          <w:kern w:val="0"/>
        </w:rPr>
      </w:pPr>
    </w:p>
    <w:p w14:paraId="5B4611AC">
      <w:pPr>
        <w:pStyle w:val="2"/>
        <w:rPr>
          <w:rFonts w:hint="eastAsia" w:ascii="宋体" w:hAnsi="宋体" w:cs="宋体"/>
          <w:color w:val="000000"/>
          <w:kern w:val="0"/>
        </w:rPr>
      </w:pPr>
    </w:p>
    <w:p w14:paraId="59C783D9">
      <w:pPr>
        <w:pStyle w:val="3"/>
        <w:rPr>
          <w:rFonts w:hint="eastAsia" w:ascii="宋体" w:hAnsi="宋体" w:cs="宋体"/>
          <w:color w:val="000000"/>
          <w:kern w:val="0"/>
        </w:rPr>
      </w:pPr>
    </w:p>
    <w:p w14:paraId="4A14B8BF">
      <w:pPr>
        <w:pStyle w:val="4"/>
        <w:rPr>
          <w:rFonts w:hint="eastAsia"/>
        </w:rPr>
      </w:pPr>
    </w:p>
    <w:p w14:paraId="6217FA04">
      <w:pPr>
        <w:pStyle w:val="2"/>
        <w:ind w:firstLine="420"/>
        <w:rPr>
          <w:rFonts w:hint="eastAsia" w:cs="宋体"/>
          <w:color w:val="000000"/>
          <w:kern w:val="0"/>
        </w:rPr>
      </w:pPr>
    </w:p>
    <w:p w14:paraId="055A8939">
      <w:pPr>
        <w:pStyle w:val="3"/>
        <w:rPr>
          <w:rFonts w:hint="eastAsia"/>
          <w:color w:val="000000"/>
        </w:rPr>
      </w:pPr>
    </w:p>
    <w:p w14:paraId="03547023">
      <w:pPr>
        <w:spacing w:line="360" w:lineRule="auto"/>
        <w:ind w:firstLine="1432" w:firstLineChars="495"/>
        <w:rPr>
          <w:rFonts w:hint="eastAsia" w:ascii="宋体" w:hAnsi="宋体" w:eastAsia="宋体" w:cs="宋体"/>
          <w:lang w:eastAsia="zh-CN"/>
        </w:rPr>
      </w:pPr>
      <w:r>
        <w:rPr>
          <w:rFonts w:hint="eastAsia" w:ascii="宋体" w:hAnsi="宋体"/>
          <w:b/>
          <w:bCs/>
          <w:color w:val="000000"/>
          <w:w w:val="90"/>
          <w:kern w:val="0"/>
          <w:sz w:val="32"/>
          <w:szCs w:val="32"/>
        </w:rPr>
        <w:t>采  购  人：</w:t>
      </w:r>
      <w:r>
        <w:rPr>
          <w:rFonts w:hint="eastAsia" w:ascii="宋体" w:hAnsi="宋体" w:eastAsia="宋体" w:cs="Calibri"/>
          <w:b/>
          <w:bCs/>
          <w:color w:val="000000"/>
          <w:w w:val="90"/>
          <w:kern w:val="0"/>
          <w:sz w:val="32"/>
          <w:szCs w:val="32"/>
          <w:lang w:eastAsia="zh-CN"/>
        </w:rPr>
        <w:t>扬州维投经营管理有限公司</w:t>
      </w:r>
    </w:p>
    <w:p w14:paraId="06D022DB">
      <w:pPr>
        <w:spacing w:line="360" w:lineRule="auto"/>
        <w:ind w:firstLine="1432" w:firstLineChars="495"/>
        <w:rPr>
          <w:rFonts w:hint="eastAsia" w:ascii="宋体" w:hAnsi="宋体" w:eastAsia="宋体" w:cs="Calibri"/>
          <w:b/>
          <w:bCs/>
          <w:color w:val="000000"/>
          <w:w w:val="90"/>
          <w:kern w:val="0"/>
          <w:sz w:val="32"/>
          <w:szCs w:val="32"/>
        </w:rPr>
      </w:pPr>
      <w:r>
        <w:rPr>
          <w:rFonts w:hint="eastAsia" w:ascii="宋体" w:hAnsi="宋体"/>
          <w:b/>
          <w:bCs/>
          <w:color w:val="000000"/>
          <w:w w:val="90"/>
          <w:kern w:val="0"/>
          <w:sz w:val="32"/>
          <w:szCs w:val="32"/>
        </w:rPr>
        <w:t>采购代理机构(章)：</w:t>
      </w:r>
      <w:r>
        <w:rPr>
          <w:rFonts w:hint="eastAsia" w:ascii="宋体" w:hAnsi="宋体" w:eastAsia="宋体" w:cs="Calibri"/>
          <w:b/>
          <w:bCs/>
          <w:color w:val="000000"/>
          <w:w w:val="90"/>
          <w:kern w:val="0"/>
          <w:sz w:val="32"/>
          <w:szCs w:val="32"/>
          <w:lang w:eastAsia="zh-CN"/>
        </w:rPr>
        <w:t>江苏志诚工程咨询管理有限公司</w:t>
      </w:r>
    </w:p>
    <w:p w14:paraId="561B6759">
      <w:pPr>
        <w:spacing w:line="360" w:lineRule="auto"/>
        <w:ind w:firstLine="1432" w:firstLineChars="495"/>
        <w:jc w:val="left"/>
        <w:rPr>
          <w:rFonts w:ascii="宋体" w:hAnsi="宋体"/>
          <w:b/>
          <w:bCs/>
          <w:color w:val="000000"/>
          <w:w w:val="90"/>
          <w:kern w:val="0"/>
          <w:sz w:val="32"/>
          <w:szCs w:val="32"/>
          <w:highlight w:val="none"/>
        </w:rPr>
      </w:pPr>
      <w:r>
        <w:rPr>
          <w:rFonts w:hint="eastAsia" w:ascii="宋体" w:hAnsi="宋体"/>
          <w:b/>
          <w:bCs/>
          <w:color w:val="000000"/>
          <w:w w:val="90"/>
          <w:kern w:val="0"/>
          <w:sz w:val="32"/>
          <w:szCs w:val="32"/>
        </w:rPr>
        <w:t>发</w:t>
      </w:r>
      <w:r>
        <w:rPr>
          <w:rFonts w:ascii="宋体" w:hAnsi="宋体"/>
          <w:b/>
          <w:bCs/>
          <w:color w:val="000000"/>
          <w:w w:val="90"/>
          <w:kern w:val="0"/>
          <w:sz w:val="32"/>
          <w:szCs w:val="32"/>
        </w:rPr>
        <w:t xml:space="preserve"> </w:t>
      </w:r>
      <w:r>
        <w:rPr>
          <w:rFonts w:hint="eastAsia" w:ascii="宋体" w:hAnsi="宋体"/>
          <w:b/>
          <w:bCs/>
          <w:color w:val="000000"/>
          <w:w w:val="90"/>
          <w:kern w:val="0"/>
          <w:sz w:val="32"/>
          <w:szCs w:val="32"/>
        </w:rPr>
        <w:t>放</w:t>
      </w:r>
      <w:r>
        <w:rPr>
          <w:rFonts w:ascii="宋体" w:hAnsi="宋体"/>
          <w:b/>
          <w:bCs/>
          <w:color w:val="000000"/>
          <w:w w:val="90"/>
          <w:kern w:val="0"/>
          <w:sz w:val="32"/>
          <w:szCs w:val="32"/>
          <w:highlight w:val="none"/>
        </w:rPr>
        <w:t xml:space="preserve"> </w:t>
      </w:r>
      <w:r>
        <w:rPr>
          <w:rFonts w:hint="eastAsia" w:ascii="宋体" w:hAnsi="宋体"/>
          <w:b/>
          <w:bCs/>
          <w:color w:val="000000"/>
          <w:w w:val="90"/>
          <w:kern w:val="0"/>
          <w:sz w:val="32"/>
          <w:szCs w:val="32"/>
          <w:highlight w:val="none"/>
        </w:rPr>
        <w:t>日</w:t>
      </w:r>
      <w:r>
        <w:rPr>
          <w:rFonts w:ascii="宋体" w:hAnsi="宋体"/>
          <w:b/>
          <w:bCs/>
          <w:color w:val="000000"/>
          <w:w w:val="90"/>
          <w:kern w:val="0"/>
          <w:sz w:val="32"/>
          <w:szCs w:val="32"/>
          <w:highlight w:val="none"/>
        </w:rPr>
        <w:t xml:space="preserve"> </w:t>
      </w:r>
      <w:r>
        <w:rPr>
          <w:rFonts w:hint="eastAsia" w:ascii="宋体" w:hAnsi="宋体"/>
          <w:b/>
          <w:bCs/>
          <w:color w:val="000000"/>
          <w:w w:val="90"/>
          <w:kern w:val="0"/>
          <w:sz w:val="32"/>
          <w:szCs w:val="32"/>
          <w:highlight w:val="none"/>
        </w:rPr>
        <w:t>期：202</w:t>
      </w:r>
      <w:r>
        <w:rPr>
          <w:rFonts w:hint="eastAsia" w:ascii="宋体" w:hAnsi="宋体"/>
          <w:b/>
          <w:bCs/>
          <w:color w:val="000000"/>
          <w:w w:val="90"/>
          <w:kern w:val="0"/>
          <w:sz w:val="32"/>
          <w:szCs w:val="32"/>
          <w:highlight w:val="none"/>
          <w:lang w:val="en-US" w:eastAsia="zh-CN"/>
        </w:rPr>
        <w:t>5</w:t>
      </w:r>
      <w:r>
        <w:rPr>
          <w:rFonts w:hint="eastAsia" w:ascii="宋体" w:hAnsi="宋体"/>
          <w:b/>
          <w:bCs/>
          <w:color w:val="000000"/>
          <w:w w:val="90"/>
          <w:kern w:val="0"/>
          <w:sz w:val="32"/>
          <w:szCs w:val="32"/>
          <w:highlight w:val="none"/>
        </w:rPr>
        <w:t>年</w:t>
      </w:r>
      <w:r>
        <w:rPr>
          <w:rFonts w:hint="eastAsia" w:ascii="宋体" w:hAnsi="宋体"/>
          <w:b/>
          <w:bCs/>
          <w:color w:val="000000"/>
          <w:w w:val="90"/>
          <w:kern w:val="0"/>
          <w:sz w:val="32"/>
          <w:szCs w:val="32"/>
          <w:highlight w:val="none"/>
          <w:lang w:val="en-US" w:eastAsia="zh-CN"/>
        </w:rPr>
        <w:t>5</w:t>
      </w:r>
      <w:r>
        <w:rPr>
          <w:rFonts w:hint="eastAsia" w:ascii="宋体" w:hAnsi="宋体"/>
          <w:b/>
          <w:bCs/>
          <w:color w:val="000000"/>
          <w:w w:val="90"/>
          <w:kern w:val="0"/>
          <w:sz w:val="32"/>
          <w:szCs w:val="32"/>
          <w:highlight w:val="none"/>
        </w:rPr>
        <w:t>月</w:t>
      </w:r>
      <w:r>
        <w:rPr>
          <w:rFonts w:hint="eastAsia" w:ascii="宋体" w:hAnsi="宋体"/>
          <w:b/>
          <w:bCs/>
          <w:color w:val="000000"/>
          <w:w w:val="90"/>
          <w:kern w:val="0"/>
          <w:sz w:val="32"/>
          <w:szCs w:val="32"/>
          <w:highlight w:val="none"/>
          <w:lang w:val="en-US" w:eastAsia="zh-CN"/>
        </w:rPr>
        <w:t>14</w:t>
      </w:r>
      <w:r>
        <w:rPr>
          <w:rFonts w:hint="eastAsia" w:ascii="宋体" w:hAnsi="宋体"/>
          <w:b/>
          <w:bCs/>
          <w:color w:val="000000"/>
          <w:w w:val="90"/>
          <w:kern w:val="0"/>
          <w:sz w:val="32"/>
          <w:szCs w:val="32"/>
          <w:highlight w:val="none"/>
        </w:rPr>
        <w:t>日</w:t>
      </w:r>
    </w:p>
    <w:p w14:paraId="418F0B2E">
      <w:pPr>
        <w:sectPr>
          <w:headerReference r:id="rId4" w:type="first"/>
          <w:footerReference r:id="rId5" w:type="first"/>
          <w:headerReference r:id="rId3" w:type="default"/>
          <w:pgSz w:w="11906" w:h="16838"/>
          <w:pgMar w:top="1440" w:right="1080" w:bottom="1440" w:left="1080" w:header="1191" w:footer="992" w:gutter="0"/>
          <w:pgNumType w:fmt="decimal"/>
          <w:cols w:space="720" w:num="1"/>
          <w:docGrid w:type="lines" w:linePitch="312" w:charSpace="0"/>
        </w:sectPr>
      </w:pPr>
    </w:p>
    <w:p w14:paraId="11717014">
      <w:pPr>
        <w:spacing w:before="340" w:after="330"/>
        <w:jc w:val="center"/>
        <w:rPr>
          <w:rFonts w:hint="eastAsia" w:ascii="宋体" w:hAnsi="宋体" w:cs="宋体"/>
          <w:color w:val="000000"/>
          <w:kern w:val="0"/>
        </w:rPr>
      </w:pPr>
      <w:r>
        <w:rPr>
          <w:rFonts w:hint="eastAsia" w:ascii="宋体" w:hAnsi="宋体" w:cs="宋体"/>
          <w:b/>
          <w:bCs/>
          <w:color w:val="000000"/>
          <w:kern w:val="0"/>
          <w:sz w:val="36"/>
          <w:szCs w:val="24"/>
        </w:rPr>
        <w:t>目</w:t>
      </w:r>
      <w:r>
        <w:rPr>
          <w:rFonts w:hint="eastAsia" w:ascii="宋体" w:hAnsi="宋体" w:cs="宋体"/>
          <w:color w:val="000000"/>
          <w:kern w:val="0"/>
          <w:sz w:val="36"/>
          <w:szCs w:val="24"/>
        </w:rPr>
        <w:t xml:space="preserve"> </w:t>
      </w:r>
      <w:r>
        <w:rPr>
          <w:rFonts w:hint="eastAsia" w:ascii="宋体" w:hAnsi="宋体" w:cs="宋体"/>
          <w:b/>
          <w:bCs/>
          <w:color w:val="000000"/>
          <w:kern w:val="0"/>
          <w:sz w:val="36"/>
          <w:szCs w:val="24"/>
        </w:rPr>
        <w:t>录</w:t>
      </w:r>
    </w:p>
    <w:p w14:paraId="48003574">
      <w:pPr>
        <w:pStyle w:val="34"/>
        <w:tabs>
          <w:tab w:val="clear" w:pos="9440"/>
        </w:tabs>
        <w:spacing w:line="480" w:lineRule="auto"/>
        <w:rPr>
          <w:color w:val="000000"/>
          <w:sz w:val="30"/>
          <w:szCs w:val="30"/>
        </w:rPr>
      </w:pP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TOC \o "1-1" \h \u </w:instrText>
      </w:r>
      <w:r>
        <w:rPr>
          <w:rFonts w:hint="eastAsia" w:ascii="宋体" w:hAnsi="宋体" w:cs="宋体"/>
          <w:color w:val="000000"/>
          <w:sz w:val="28"/>
          <w:szCs w:val="28"/>
        </w:rPr>
        <w:fldChar w:fldCharType="separate"/>
      </w:r>
      <w:r>
        <w:rPr>
          <w:rFonts w:hint="eastAsia" w:ascii="宋体" w:hAnsi="宋体" w:cs="宋体"/>
          <w:color w:val="000000"/>
          <w:sz w:val="30"/>
          <w:szCs w:val="30"/>
        </w:rPr>
        <w:fldChar w:fldCharType="begin"/>
      </w:r>
      <w:r>
        <w:rPr>
          <w:rFonts w:hint="eastAsia" w:ascii="宋体" w:hAnsi="宋体" w:cs="宋体"/>
          <w:color w:val="000000"/>
          <w:sz w:val="30"/>
          <w:szCs w:val="30"/>
        </w:rPr>
        <w:instrText xml:space="preserve"> HYPERLINK \l _Toc11343 </w:instrText>
      </w:r>
      <w:r>
        <w:rPr>
          <w:rFonts w:hint="eastAsia" w:ascii="宋体" w:hAnsi="宋体" w:cs="宋体"/>
          <w:color w:val="000000"/>
          <w:sz w:val="30"/>
          <w:szCs w:val="30"/>
        </w:rPr>
        <w:fldChar w:fldCharType="separate"/>
      </w:r>
      <w:r>
        <w:rPr>
          <w:rFonts w:hint="eastAsia" w:ascii="宋体" w:hAnsi="宋体" w:cs="宋体"/>
          <w:color w:val="000000"/>
          <w:kern w:val="0"/>
          <w:sz w:val="30"/>
          <w:szCs w:val="30"/>
        </w:rPr>
        <w:t>第一章 竞争性磋商</w:t>
      </w:r>
      <w:r>
        <w:rPr>
          <w:rFonts w:hint="eastAsia" w:ascii="宋体" w:hAnsi="宋体" w:cs="宋体"/>
          <w:color w:val="000000"/>
          <w:kern w:val="0"/>
          <w:sz w:val="30"/>
          <w:szCs w:val="30"/>
          <w:lang w:val="en-US" w:eastAsia="zh-CN"/>
        </w:rPr>
        <w:t>采购</w:t>
      </w:r>
      <w:r>
        <w:rPr>
          <w:rFonts w:hint="eastAsia" w:ascii="宋体" w:hAnsi="宋体" w:cs="宋体"/>
          <w:color w:val="000000"/>
          <w:kern w:val="0"/>
          <w:sz w:val="30"/>
          <w:szCs w:val="30"/>
          <w:lang w:eastAsia="zh-CN"/>
        </w:rPr>
        <w:t>公告</w:t>
      </w:r>
      <w:r>
        <w:rPr>
          <w:color w:val="000000"/>
          <w:sz w:val="30"/>
          <w:szCs w:val="30"/>
        </w:rPr>
        <w:tab/>
      </w:r>
      <w:r>
        <w:rPr>
          <w:rFonts w:hint="eastAsia"/>
          <w:color w:val="000000"/>
          <w:sz w:val="30"/>
          <w:szCs w:val="30"/>
          <w:lang w:val="en-US" w:eastAsia="zh-CN"/>
        </w:rPr>
        <w:t>2</w:t>
      </w:r>
      <w:r>
        <w:rPr>
          <w:rFonts w:hint="eastAsia" w:ascii="宋体" w:hAnsi="宋体" w:cs="宋体"/>
          <w:color w:val="000000"/>
          <w:sz w:val="30"/>
          <w:szCs w:val="30"/>
        </w:rPr>
        <w:fldChar w:fldCharType="end"/>
      </w:r>
    </w:p>
    <w:p w14:paraId="5AAB6AF3">
      <w:pPr>
        <w:pStyle w:val="34"/>
        <w:tabs>
          <w:tab w:val="clear" w:pos="9440"/>
        </w:tabs>
        <w:spacing w:line="480" w:lineRule="auto"/>
        <w:rPr>
          <w:color w:val="000000"/>
          <w:sz w:val="30"/>
          <w:szCs w:val="30"/>
        </w:rPr>
      </w:pPr>
      <w:r>
        <w:rPr>
          <w:rFonts w:hint="eastAsia" w:ascii="宋体" w:hAnsi="宋体" w:cs="宋体"/>
          <w:color w:val="000000"/>
          <w:sz w:val="30"/>
          <w:szCs w:val="30"/>
        </w:rPr>
        <w:fldChar w:fldCharType="begin"/>
      </w:r>
      <w:r>
        <w:rPr>
          <w:rFonts w:hint="eastAsia" w:ascii="宋体" w:hAnsi="宋体" w:cs="宋体"/>
          <w:color w:val="000000"/>
          <w:sz w:val="30"/>
          <w:szCs w:val="30"/>
        </w:rPr>
        <w:instrText xml:space="preserve"> HYPERLINK \l _Toc31028 </w:instrText>
      </w:r>
      <w:r>
        <w:rPr>
          <w:rFonts w:hint="eastAsia" w:ascii="宋体" w:hAnsi="宋体" w:cs="宋体"/>
          <w:color w:val="000000"/>
          <w:sz w:val="30"/>
          <w:szCs w:val="30"/>
        </w:rPr>
        <w:fldChar w:fldCharType="separate"/>
      </w:r>
      <w:r>
        <w:rPr>
          <w:rFonts w:hint="eastAsia" w:ascii="宋体" w:hAnsi="宋体" w:cs="宋体"/>
          <w:color w:val="000000"/>
          <w:sz w:val="30"/>
          <w:szCs w:val="30"/>
        </w:rPr>
        <w:t>第二章 磋商须知</w:t>
      </w:r>
      <w:r>
        <w:rPr>
          <w:color w:val="000000"/>
          <w:sz w:val="30"/>
          <w:szCs w:val="30"/>
        </w:rPr>
        <w:tab/>
      </w:r>
      <w:r>
        <w:rPr>
          <w:rFonts w:hint="eastAsia"/>
          <w:color w:val="000000"/>
          <w:sz w:val="30"/>
          <w:szCs w:val="30"/>
          <w:lang w:val="en-US" w:eastAsia="zh-CN"/>
        </w:rPr>
        <w:t>5</w:t>
      </w:r>
      <w:r>
        <w:rPr>
          <w:rFonts w:hint="eastAsia" w:ascii="宋体" w:hAnsi="宋体" w:cs="宋体"/>
          <w:color w:val="000000"/>
          <w:sz w:val="30"/>
          <w:szCs w:val="30"/>
        </w:rPr>
        <w:fldChar w:fldCharType="end"/>
      </w:r>
    </w:p>
    <w:p w14:paraId="7CE09F12">
      <w:pPr>
        <w:pStyle w:val="34"/>
        <w:tabs>
          <w:tab w:val="clear" w:pos="9440"/>
        </w:tabs>
        <w:spacing w:line="480" w:lineRule="auto"/>
        <w:rPr>
          <w:rFonts w:hint="eastAsia" w:eastAsia="宋体"/>
          <w:color w:val="000000"/>
          <w:sz w:val="30"/>
          <w:szCs w:val="30"/>
          <w:lang w:val="en-US" w:eastAsia="zh-CN"/>
        </w:rPr>
      </w:pPr>
      <w:r>
        <w:rPr>
          <w:rFonts w:hint="eastAsia" w:ascii="宋体" w:hAnsi="宋体" w:cs="宋体"/>
          <w:color w:val="000000"/>
          <w:sz w:val="30"/>
          <w:szCs w:val="30"/>
        </w:rPr>
        <w:fldChar w:fldCharType="begin"/>
      </w:r>
      <w:r>
        <w:rPr>
          <w:rFonts w:hint="eastAsia" w:ascii="宋体" w:hAnsi="宋体" w:cs="宋体"/>
          <w:color w:val="000000"/>
          <w:sz w:val="30"/>
          <w:szCs w:val="30"/>
        </w:rPr>
        <w:instrText xml:space="preserve"> HYPERLINK \l _Toc18550 </w:instrText>
      </w:r>
      <w:r>
        <w:rPr>
          <w:rFonts w:hint="eastAsia" w:ascii="宋体" w:hAnsi="宋体" w:cs="宋体"/>
          <w:color w:val="000000"/>
          <w:sz w:val="30"/>
          <w:szCs w:val="30"/>
        </w:rPr>
        <w:fldChar w:fldCharType="separate"/>
      </w:r>
      <w:r>
        <w:rPr>
          <w:rFonts w:hint="eastAsia" w:ascii="宋体" w:hAnsi="宋体" w:cs="宋体"/>
          <w:color w:val="000000"/>
          <w:kern w:val="0"/>
          <w:sz w:val="30"/>
          <w:szCs w:val="30"/>
        </w:rPr>
        <w:t>第三章 合同条款及格式</w:t>
      </w:r>
      <w:r>
        <w:rPr>
          <w:color w:val="000000"/>
          <w:sz w:val="30"/>
          <w:szCs w:val="30"/>
        </w:rPr>
        <w:tab/>
      </w:r>
      <w:r>
        <w:rPr>
          <w:rFonts w:hint="eastAsia"/>
          <w:color w:val="000000"/>
          <w:sz w:val="30"/>
          <w:szCs w:val="30"/>
          <w:lang w:val="en-US" w:eastAsia="zh-CN"/>
        </w:rPr>
        <w:t>1</w:t>
      </w:r>
      <w:r>
        <w:rPr>
          <w:rFonts w:hint="eastAsia" w:ascii="宋体" w:hAnsi="宋体" w:cs="宋体"/>
          <w:color w:val="000000"/>
          <w:sz w:val="30"/>
          <w:szCs w:val="30"/>
        </w:rPr>
        <w:fldChar w:fldCharType="end"/>
      </w:r>
      <w:r>
        <w:rPr>
          <w:rFonts w:hint="eastAsia" w:ascii="宋体" w:hAnsi="宋体" w:cs="宋体"/>
          <w:color w:val="000000"/>
          <w:sz w:val="30"/>
          <w:szCs w:val="30"/>
          <w:lang w:val="en-US" w:eastAsia="zh-CN"/>
        </w:rPr>
        <w:t>3</w:t>
      </w:r>
    </w:p>
    <w:p w14:paraId="442C8FBE">
      <w:pPr>
        <w:pStyle w:val="34"/>
        <w:tabs>
          <w:tab w:val="clear" w:pos="9440"/>
        </w:tabs>
        <w:spacing w:line="480" w:lineRule="auto"/>
        <w:rPr>
          <w:rFonts w:hint="eastAsia" w:eastAsia="黑体"/>
          <w:color w:val="000000"/>
          <w:sz w:val="30"/>
          <w:szCs w:val="30"/>
          <w:lang w:val="en-US" w:eastAsia="zh-CN"/>
        </w:rPr>
      </w:pPr>
      <w:r>
        <w:rPr>
          <w:rFonts w:hint="eastAsia" w:ascii="宋体" w:hAnsi="宋体" w:cs="宋体"/>
          <w:color w:val="000000"/>
          <w:sz w:val="30"/>
          <w:szCs w:val="30"/>
        </w:rPr>
        <w:fldChar w:fldCharType="begin"/>
      </w:r>
      <w:r>
        <w:rPr>
          <w:rFonts w:hint="eastAsia" w:ascii="宋体" w:hAnsi="宋体" w:cs="宋体"/>
          <w:color w:val="000000"/>
          <w:sz w:val="30"/>
          <w:szCs w:val="30"/>
        </w:rPr>
        <w:instrText xml:space="preserve"> HYPERLINK \l _Toc9550 </w:instrText>
      </w:r>
      <w:r>
        <w:rPr>
          <w:rFonts w:hint="eastAsia" w:ascii="宋体" w:hAnsi="宋体" w:cs="宋体"/>
          <w:color w:val="000000"/>
          <w:sz w:val="30"/>
          <w:szCs w:val="30"/>
        </w:rPr>
        <w:fldChar w:fldCharType="separate"/>
      </w:r>
      <w:r>
        <w:rPr>
          <w:rFonts w:hint="eastAsia" w:ascii="宋体" w:hAnsi="宋体" w:cs="宋体"/>
          <w:color w:val="000000"/>
          <w:kern w:val="0"/>
          <w:sz w:val="30"/>
          <w:szCs w:val="30"/>
        </w:rPr>
        <w:t>第四章 项目需求</w:t>
      </w:r>
      <w:r>
        <w:rPr>
          <w:color w:val="000000"/>
          <w:sz w:val="30"/>
          <w:szCs w:val="30"/>
        </w:rPr>
        <w:tab/>
      </w:r>
      <w:r>
        <w:rPr>
          <w:rFonts w:hint="eastAsia"/>
          <w:color w:val="000000"/>
          <w:sz w:val="30"/>
          <w:szCs w:val="30"/>
          <w:lang w:val="en-US" w:eastAsia="zh-CN"/>
        </w:rPr>
        <w:t>1</w:t>
      </w:r>
      <w:r>
        <w:rPr>
          <w:rFonts w:hint="eastAsia" w:ascii="宋体" w:hAnsi="宋体" w:cs="宋体"/>
          <w:color w:val="000000"/>
          <w:sz w:val="30"/>
          <w:szCs w:val="30"/>
        </w:rPr>
        <w:fldChar w:fldCharType="end"/>
      </w:r>
      <w:r>
        <w:rPr>
          <w:rFonts w:hint="eastAsia" w:ascii="宋体" w:hAnsi="宋体" w:cs="宋体"/>
          <w:color w:val="000000"/>
          <w:sz w:val="30"/>
          <w:szCs w:val="30"/>
          <w:lang w:val="en-US" w:eastAsia="zh-CN"/>
        </w:rPr>
        <w:t>8</w:t>
      </w:r>
    </w:p>
    <w:p w14:paraId="54711556">
      <w:pPr>
        <w:pStyle w:val="34"/>
        <w:tabs>
          <w:tab w:val="clear" w:pos="9440"/>
        </w:tabs>
        <w:spacing w:line="480" w:lineRule="auto"/>
        <w:rPr>
          <w:rFonts w:hint="eastAsia" w:eastAsia="黑体"/>
          <w:color w:val="000000"/>
          <w:sz w:val="30"/>
          <w:szCs w:val="30"/>
          <w:lang w:val="en-US" w:eastAsia="zh-CN"/>
        </w:rPr>
      </w:pPr>
      <w:r>
        <w:rPr>
          <w:rFonts w:hint="eastAsia" w:ascii="宋体" w:hAnsi="宋体" w:cs="宋体"/>
          <w:color w:val="000000"/>
          <w:sz w:val="30"/>
          <w:szCs w:val="30"/>
        </w:rPr>
        <w:fldChar w:fldCharType="begin"/>
      </w:r>
      <w:r>
        <w:rPr>
          <w:rFonts w:hint="eastAsia" w:ascii="宋体" w:hAnsi="宋体" w:cs="宋体"/>
          <w:color w:val="000000"/>
          <w:sz w:val="30"/>
          <w:szCs w:val="30"/>
        </w:rPr>
        <w:instrText xml:space="preserve"> HYPERLINK \l _Toc10650 </w:instrText>
      </w:r>
      <w:r>
        <w:rPr>
          <w:rFonts w:hint="eastAsia" w:ascii="宋体" w:hAnsi="宋体" w:cs="宋体"/>
          <w:color w:val="000000"/>
          <w:sz w:val="30"/>
          <w:szCs w:val="30"/>
        </w:rPr>
        <w:fldChar w:fldCharType="separate"/>
      </w:r>
      <w:r>
        <w:rPr>
          <w:rFonts w:hint="eastAsia" w:ascii="宋体" w:hAnsi="宋体" w:cs="宋体"/>
          <w:bCs/>
          <w:color w:val="000000"/>
          <w:kern w:val="0"/>
          <w:sz w:val="30"/>
          <w:szCs w:val="30"/>
        </w:rPr>
        <w:t xml:space="preserve">第五章 </w:t>
      </w:r>
      <w:r>
        <w:rPr>
          <w:rFonts w:hint="eastAsia" w:ascii="宋体" w:hAnsi="宋体" w:cs="宋体"/>
          <w:bCs/>
          <w:color w:val="000000"/>
          <w:kern w:val="0"/>
          <w:sz w:val="30"/>
          <w:szCs w:val="30"/>
          <w:lang w:val="en-US" w:eastAsia="zh-CN"/>
        </w:rPr>
        <w:t>评审方法和评审标准</w:t>
      </w:r>
      <w:r>
        <w:rPr>
          <w:color w:val="000000"/>
          <w:sz w:val="30"/>
          <w:szCs w:val="30"/>
        </w:rPr>
        <w:tab/>
      </w:r>
      <w:r>
        <w:rPr>
          <w:rFonts w:hint="eastAsia"/>
          <w:color w:val="000000"/>
          <w:sz w:val="30"/>
          <w:szCs w:val="30"/>
          <w:lang w:val="en-US" w:eastAsia="zh-CN"/>
        </w:rPr>
        <w:t xml:space="preserve"> 2</w:t>
      </w:r>
      <w:r>
        <w:rPr>
          <w:rFonts w:hint="eastAsia" w:ascii="宋体" w:hAnsi="宋体" w:cs="宋体"/>
          <w:color w:val="000000"/>
          <w:sz w:val="30"/>
          <w:szCs w:val="30"/>
        </w:rPr>
        <w:fldChar w:fldCharType="end"/>
      </w:r>
      <w:r>
        <w:rPr>
          <w:rFonts w:hint="eastAsia" w:ascii="宋体" w:hAnsi="宋体" w:cs="宋体"/>
          <w:color w:val="000000"/>
          <w:sz w:val="30"/>
          <w:szCs w:val="30"/>
          <w:lang w:val="en-US" w:eastAsia="zh-CN"/>
        </w:rPr>
        <w:t>4</w:t>
      </w:r>
    </w:p>
    <w:p w14:paraId="4D1AA72F">
      <w:pPr>
        <w:pStyle w:val="34"/>
        <w:tabs>
          <w:tab w:val="clear" w:pos="9440"/>
        </w:tabs>
        <w:spacing w:line="480" w:lineRule="auto"/>
        <w:rPr>
          <w:rFonts w:hint="eastAsia" w:eastAsia="黑体"/>
          <w:color w:val="000000"/>
          <w:lang w:val="en-US" w:eastAsia="zh-CN"/>
        </w:rPr>
      </w:pPr>
      <w:r>
        <w:rPr>
          <w:rFonts w:hint="eastAsia" w:ascii="宋体" w:hAnsi="宋体" w:cs="宋体"/>
          <w:color w:val="000000"/>
          <w:sz w:val="30"/>
          <w:szCs w:val="30"/>
        </w:rPr>
        <w:fldChar w:fldCharType="begin"/>
      </w:r>
      <w:r>
        <w:rPr>
          <w:rFonts w:hint="eastAsia" w:ascii="宋体" w:hAnsi="宋体" w:cs="宋体"/>
          <w:color w:val="000000"/>
          <w:sz w:val="30"/>
          <w:szCs w:val="30"/>
        </w:rPr>
        <w:instrText xml:space="preserve"> HYPERLINK \l _Toc7212 </w:instrText>
      </w:r>
      <w:r>
        <w:rPr>
          <w:rFonts w:hint="eastAsia" w:ascii="宋体" w:hAnsi="宋体" w:cs="宋体"/>
          <w:color w:val="000000"/>
          <w:sz w:val="30"/>
          <w:szCs w:val="30"/>
        </w:rPr>
        <w:fldChar w:fldCharType="separate"/>
      </w:r>
      <w:r>
        <w:rPr>
          <w:rFonts w:hint="eastAsia" w:ascii="宋体" w:hAnsi="宋体" w:cs="宋体"/>
          <w:bCs/>
          <w:color w:val="000000"/>
          <w:kern w:val="0"/>
          <w:sz w:val="30"/>
          <w:szCs w:val="30"/>
        </w:rPr>
        <w:t>第六章 竞争性磋商响应文件格式</w:t>
      </w:r>
      <w:r>
        <w:rPr>
          <w:color w:val="000000"/>
          <w:sz w:val="30"/>
          <w:szCs w:val="30"/>
        </w:rPr>
        <w:tab/>
      </w:r>
      <w:r>
        <w:rPr>
          <w:rFonts w:hint="eastAsia"/>
          <w:color w:val="000000"/>
          <w:sz w:val="30"/>
          <w:szCs w:val="30"/>
          <w:lang w:val="en-US" w:eastAsia="zh-CN"/>
        </w:rPr>
        <w:t>2</w:t>
      </w:r>
      <w:r>
        <w:rPr>
          <w:rFonts w:hint="eastAsia" w:ascii="宋体" w:hAnsi="宋体" w:cs="宋体"/>
          <w:color w:val="000000"/>
          <w:sz w:val="30"/>
          <w:szCs w:val="30"/>
        </w:rPr>
        <w:fldChar w:fldCharType="end"/>
      </w:r>
      <w:r>
        <w:rPr>
          <w:rFonts w:hint="eastAsia" w:ascii="宋体" w:hAnsi="宋体" w:cs="宋体"/>
          <w:color w:val="000000"/>
          <w:sz w:val="30"/>
          <w:szCs w:val="30"/>
          <w:lang w:val="en-US" w:eastAsia="zh-CN"/>
        </w:rPr>
        <w:t>7</w:t>
      </w:r>
    </w:p>
    <w:p w14:paraId="61765D70">
      <w:pPr>
        <w:pStyle w:val="10"/>
        <w:spacing w:line="360" w:lineRule="auto"/>
        <w:jc w:val="center"/>
        <w:rPr>
          <w:rFonts w:hint="eastAsia" w:ascii="宋体" w:hAnsi="宋体" w:cs="宋体"/>
          <w:color w:val="000000"/>
          <w:sz w:val="28"/>
          <w:szCs w:val="28"/>
        </w:rPr>
      </w:pPr>
      <w:r>
        <w:rPr>
          <w:rFonts w:hint="eastAsia" w:ascii="宋体" w:hAnsi="宋体" w:cs="宋体"/>
          <w:color w:val="000000"/>
          <w:sz w:val="28"/>
          <w:szCs w:val="28"/>
        </w:rPr>
        <w:fldChar w:fldCharType="end"/>
      </w:r>
    </w:p>
    <w:p w14:paraId="34A05A20">
      <w:pPr>
        <w:pStyle w:val="10"/>
        <w:spacing w:line="360" w:lineRule="auto"/>
        <w:jc w:val="center"/>
        <w:rPr>
          <w:rFonts w:hint="eastAsia" w:ascii="宋体" w:hAnsi="宋体" w:eastAsia="宋体"/>
          <w:b/>
          <w:sz w:val="36"/>
          <w:szCs w:val="36"/>
        </w:rPr>
      </w:pPr>
    </w:p>
    <w:p w14:paraId="57EE8304">
      <w:pPr>
        <w:rPr>
          <w:rFonts w:hint="eastAsia" w:ascii="宋体" w:hAnsi="宋体" w:eastAsia="宋体"/>
          <w:b/>
          <w:sz w:val="36"/>
          <w:szCs w:val="36"/>
        </w:rPr>
      </w:pPr>
    </w:p>
    <w:p w14:paraId="6FA35DA9">
      <w:pPr>
        <w:pStyle w:val="2"/>
        <w:rPr>
          <w:rFonts w:hint="eastAsia" w:ascii="宋体" w:hAnsi="宋体" w:eastAsia="宋体"/>
          <w:b/>
          <w:sz w:val="36"/>
          <w:szCs w:val="36"/>
        </w:rPr>
      </w:pPr>
    </w:p>
    <w:p w14:paraId="07DA8D2B">
      <w:pPr>
        <w:pStyle w:val="3"/>
        <w:rPr>
          <w:rFonts w:hint="eastAsia" w:ascii="宋体" w:hAnsi="宋体" w:eastAsia="宋体"/>
          <w:b/>
          <w:sz w:val="36"/>
          <w:szCs w:val="36"/>
        </w:rPr>
      </w:pPr>
    </w:p>
    <w:p w14:paraId="75C44A8F">
      <w:pPr>
        <w:pStyle w:val="4"/>
        <w:rPr>
          <w:rFonts w:hint="eastAsia" w:ascii="宋体" w:hAnsi="宋体" w:eastAsia="宋体"/>
          <w:b/>
          <w:sz w:val="36"/>
          <w:szCs w:val="36"/>
        </w:rPr>
      </w:pPr>
    </w:p>
    <w:p w14:paraId="0C400C89">
      <w:pPr>
        <w:pStyle w:val="5"/>
        <w:rPr>
          <w:rFonts w:hint="eastAsia" w:ascii="宋体" w:hAnsi="宋体" w:eastAsia="宋体"/>
          <w:b/>
          <w:sz w:val="36"/>
          <w:szCs w:val="36"/>
        </w:rPr>
      </w:pPr>
    </w:p>
    <w:p w14:paraId="6EEC07C6">
      <w:pPr>
        <w:pStyle w:val="6"/>
        <w:rPr>
          <w:rFonts w:hint="eastAsia" w:ascii="宋体" w:hAnsi="宋体" w:eastAsia="宋体"/>
          <w:b/>
          <w:sz w:val="36"/>
          <w:szCs w:val="36"/>
        </w:rPr>
      </w:pPr>
    </w:p>
    <w:p w14:paraId="1B5E4574">
      <w:pPr>
        <w:pStyle w:val="7"/>
        <w:rPr>
          <w:rFonts w:hint="eastAsia" w:ascii="宋体" w:hAnsi="宋体" w:eastAsia="宋体"/>
          <w:b/>
          <w:sz w:val="36"/>
          <w:szCs w:val="36"/>
        </w:rPr>
      </w:pPr>
    </w:p>
    <w:p w14:paraId="0E4984D4">
      <w:pPr>
        <w:pStyle w:val="8"/>
        <w:rPr>
          <w:rFonts w:hint="eastAsia" w:ascii="宋体" w:hAnsi="宋体" w:eastAsia="宋体"/>
          <w:b/>
          <w:sz w:val="36"/>
          <w:szCs w:val="36"/>
        </w:rPr>
      </w:pPr>
    </w:p>
    <w:p w14:paraId="4DB41657">
      <w:pPr>
        <w:pStyle w:val="9"/>
        <w:rPr>
          <w:rFonts w:hint="eastAsia" w:ascii="宋体" w:hAnsi="宋体" w:eastAsia="宋体"/>
          <w:b/>
          <w:sz w:val="36"/>
          <w:szCs w:val="36"/>
        </w:rPr>
      </w:pPr>
    </w:p>
    <w:p w14:paraId="37CADC0B">
      <w:pPr>
        <w:rPr>
          <w:rFonts w:hint="eastAsia" w:ascii="宋体" w:hAnsi="宋体" w:eastAsia="宋体"/>
          <w:b/>
          <w:sz w:val="36"/>
          <w:szCs w:val="36"/>
        </w:rPr>
      </w:pPr>
    </w:p>
    <w:p w14:paraId="01E8C8D7">
      <w:pPr>
        <w:pStyle w:val="2"/>
        <w:rPr>
          <w:rFonts w:hint="eastAsia"/>
        </w:rPr>
      </w:pPr>
    </w:p>
    <w:p w14:paraId="5E087C16">
      <w:pPr>
        <w:bidi w:val="0"/>
        <w:rPr>
          <w:rFonts w:hint="eastAsia"/>
        </w:rPr>
      </w:pPr>
    </w:p>
    <w:p w14:paraId="48CE158A">
      <w:pPr>
        <w:bidi w:val="0"/>
        <w:rPr>
          <w:rFonts w:hint="eastAsia"/>
        </w:rPr>
      </w:pPr>
    </w:p>
    <w:p w14:paraId="4081FA4C">
      <w:pPr>
        <w:bidi w:val="0"/>
        <w:jc w:val="center"/>
        <w:rPr>
          <w:rFonts w:hint="eastAsia"/>
        </w:rPr>
      </w:pPr>
    </w:p>
    <w:p w14:paraId="0606EB2B">
      <w:pPr>
        <w:pStyle w:val="10"/>
        <w:spacing w:line="360" w:lineRule="auto"/>
        <w:jc w:val="center"/>
        <w:rPr>
          <w:rFonts w:hint="eastAsia" w:ascii="宋体" w:hAnsi="宋体" w:eastAsia="宋体"/>
          <w:b/>
          <w:sz w:val="21"/>
          <w:szCs w:val="21"/>
        </w:rPr>
      </w:pPr>
    </w:p>
    <w:p w14:paraId="2DCF39CE">
      <w:pPr>
        <w:pStyle w:val="10"/>
        <w:spacing w:line="360" w:lineRule="auto"/>
        <w:jc w:val="center"/>
        <w:rPr>
          <w:rFonts w:hint="eastAsia" w:ascii="宋体" w:hAnsi="宋体" w:eastAsia="宋体"/>
          <w:b/>
          <w:sz w:val="36"/>
          <w:szCs w:val="36"/>
        </w:rPr>
      </w:pPr>
      <w:r>
        <w:rPr>
          <w:rFonts w:hint="eastAsia" w:ascii="宋体" w:hAnsi="宋体" w:eastAsia="宋体"/>
          <w:b/>
          <w:sz w:val="36"/>
          <w:szCs w:val="36"/>
        </w:rPr>
        <w:t>第一章 竞争性磋商采购公告</w:t>
      </w:r>
    </w:p>
    <w:p w14:paraId="1AC602C7">
      <w:pPr>
        <w:spacing w:line="360" w:lineRule="auto"/>
        <w:ind w:firstLine="525" w:firstLineChars="250"/>
        <w:rPr>
          <w:rFonts w:hint="eastAsia" w:ascii="宋体" w:hAnsi="宋体" w:eastAsia="宋体" w:cs="宋体"/>
          <w:b/>
          <w:sz w:val="36"/>
        </w:rPr>
      </w:pPr>
      <w:bookmarkStart w:id="0" w:name="OLE_LINK3"/>
      <w:bookmarkStart w:id="1" w:name="OLE_LINK4"/>
      <w:r>
        <w:rPr>
          <w:rFonts w:hint="eastAsia" w:ascii="宋体" w:hAnsi="宋体" w:eastAsia="宋体" w:cs="宋体"/>
          <w:szCs w:val="21"/>
        </w:rPr>
        <w:t>受</w:t>
      </w:r>
      <w:r>
        <w:rPr>
          <w:rFonts w:hint="eastAsia" w:ascii="宋体" w:hAnsi="宋体" w:eastAsia="宋体" w:cs="宋体"/>
          <w:lang w:eastAsia="zh-CN"/>
        </w:rPr>
        <w:t>扬州维投经营管理有限公司</w:t>
      </w:r>
      <w:r>
        <w:rPr>
          <w:rFonts w:hint="eastAsia" w:ascii="宋体" w:hAnsi="宋体" w:eastAsia="宋体" w:cs="宋体"/>
          <w:szCs w:val="21"/>
        </w:rPr>
        <w:t>的委托，</w:t>
      </w:r>
      <w:r>
        <w:rPr>
          <w:rFonts w:hint="eastAsia" w:ascii="宋体" w:hAnsi="宋体" w:eastAsia="宋体" w:cs="宋体"/>
          <w:lang w:eastAsia="zh-CN"/>
        </w:rPr>
        <w:t>江苏志诚工程咨询管理有限公司</w:t>
      </w:r>
      <w:r>
        <w:rPr>
          <w:rFonts w:hint="eastAsia" w:ascii="宋体" w:hAnsi="宋体" w:eastAsia="宋体" w:cs="宋体"/>
        </w:rPr>
        <w:t>就其</w:t>
      </w:r>
      <w:r>
        <w:rPr>
          <w:rFonts w:hint="eastAsia" w:ascii="宋体" w:hAnsi="宋体" w:eastAsia="宋体" w:cs="宋体"/>
          <w:lang w:eastAsia="zh-CN"/>
        </w:rPr>
        <w:t>2025-2026西花园南绿化养护工程</w:t>
      </w:r>
      <w:r>
        <w:rPr>
          <w:rFonts w:hint="eastAsia" w:ascii="宋体" w:hAnsi="宋体" w:eastAsia="宋体" w:cs="宋体"/>
          <w:color w:val="000000"/>
          <w:szCs w:val="21"/>
          <w:lang w:eastAsia="zh-CN"/>
        </w:rPr>
        <w:t>JSZCZC2025024</w:t>
      </w:r>
      <w:r>
        <w:rPr>
          <w:rFonts w:hint="eastAsia" w:ascii="宋体" w:hAnsi="宋体" w:eastAsia="宋体" w:cs="宋体"/>
          <w:color w:val="000000"/>
          <w:szCs w:val="21"/>
        </w:rPr>
        <w:t>号</w:t>
      </w:r>
      <w:r>
        <w:rPr>
          <w:rFonts w:hint="eastAsia" w:ascii="宋体" w:hAnsi="宋体" w:eastAsia="宋体" w:cs="宋体"/>
        </w:rPr>
        <w:t>进行竞争性磋商采购，现欢迎符合相关</w:t>
      </w:r>
      <w:r>
        <w:rPr>
          <w:rFonts w:hint="eastAsia" w:ascii="宋体" w:hAnsi="宋体" w:eastAsia="宋体" w:cs="宋体"/>
          <w:szCs w:val="21"/>
        </w:rPr>
        <w:t>条件的供应商参加磋商。</w:t>
      </w:r>
    </w:p>
    <w:tbl>
      <w:tblPr>
        <w:tblStyle w:val="45"/>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28"/>
      </w:tblGrid>
      <w:tr w14:paraId="2DEDF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trPr>
        <w:tc>
          <w:tcPr>
            <w:tcW w:w="9828" w:type="dxa"/>
            <w:vAlign w:val="top"/>
          </w:tcPr>
          <w:p w14:paraId="70C58305">
            <w:pPr>
              <w:keepNext w:val="0"/>
              <w:keepLines w:val="0"/>
              <w:suppressLineNumbers w:val="0"/>
              <w:pBdr>
                <w:top w:val="single" w:color="000000" w:sz="4" w:space="1"/>
                <w:left w:val="single" w:color="000000" w:sz="4" w:space="4"/>
                <w:bottom w:val="single" w:color="000000" w:sz="4" w:space="1"/>
                <w:right w:val="single" w:color="000000" w:sz="4" w:space="4"/>
              </w:pBdr>
              <w:spacing w:before="0" w:beforeAutospacing="0" w:after="0" w:afterAutospacing="0" w:line="360" w:lineRule="auto"/>
              <w:ind w:left="0" w:right="0" w:firstLine="420" w:firstLineChars="200"/>
              <w:rPr>
                <w:rFonts w:hint="eastAsia" w:ascii="宋体" w:hAnsi="宋体" w:eastAsia="宋体" w:cs="宋体"/>
                <w:szCs w:val="21"/>
              </w:rPr>
            </w:pPr>
            <w:r>
              <w:rPr>
                <w:rFonts w:hint="eastAsia" w:ascii="宋体" w:hAnsi="宋体" w:eastAsia="宋体" w:cs="宋体"/>
                <w:szCs w:val="21"/>
              </w:rPr>
              <w:t>项目概况</w:t>
            </w:r>
          </w:p>
          <w:p w14:paraId="2A98F0A9">
            <w:pPr>
              <w:keepNext w:val="0"/>
              <w:keepLines w:val="0"/>
              <w:suppressLineNumbers w:val="0"/>
              <w:pBdr>
                <w:top w:val="single" w:color="000000" w:sz="4" w:space="1"/>
                <w:left w:val="single" w:color="000000" w:sz="4" w:space="4"/>
                <w:bottom w:val="single" w:color="000000" w:sz="4" w:space="1"/>
                <w:right w:val="single" w:color="000000" w:sz="4" w:space="4"/>
              </w:pBdr>
              <w:spacing w:before="0" w:beforeAutospacing="0" w:after="0" w:afterAutospacing="0" w:line="360" w:lineRule="auto"/>
              <w:ind w:left="0" w:right="0" w:firstLine="420" w:firstLineChars="200"/>
              <w:rPr>
                <w:rFonts w:hint="eastAsia" w:ascii="宋体" w:hAnsi="宋体" w:eastAsia="宋体" w:cs="宋体"/>
                <w:szCs w:val="21"/>
              </w:rPr>
            </w:pPr>
            <w:r>
              <w:rPr>
                <w:rFonts w:hint="eastAsia" w:ascii="宋体" w:hAnsi="宋体" w:eastAsia="宋体" w:cs="宋体"/>
                <w:color w:val="000000"/>
                <w:szCs w:val="21"/>
                <w:u w:val="single"/>
                <w:lang w:eastAsia="zh-CN"/>
              </w:rPr>
              <w:t>2025-2026西花园南绿化养护工程</w:t>
            </w:r>
            <w:r>
              <w:rPr>
                <w:rFonts w:hint="eastAsia" w:ascii="宋体" w:hAnsi="宋体" w:eastAsia="宋体" w:cs="宋体"/>
                <w:szCs w:val="21"/>
              </w:rPr>
              <w:t>的潜在供应商可在</w:t>
            </w:r>
            <w:r>
              <w:rPr>
                <w:rFonts w:hint="eastAsia" w:ascii="宋体" w:hAnsi="宋体" w:eastAsia="宋体" w:cs="宋体"/>
                <w:szCs w:val="21"/>
                <w:u w:val="single"/>
                <w:lang w:eastAsia="zh-CN"/>
              </w:rPr>
              <w:t>“扬州市公共资源交易平台邗江分中心国企采购栏目、扬州维扬发展投资有限公司网站”</w:t>
            </w:r>
            <w:r>
              <w:rPr>
                <w:rFonts w:hint="eastAsia" w:ascii="宋体" w:hAnsi="宋体" w:eastAsia="宋体" w:cs="宋体"/>
                <w:szCs w:val="21"/>
              </w:rPr>
              <w:t>购买采购文件，并于</w:t>
            </w:r>
            <w:r>
              <w:rPr>
                <w:rFonts w:hint="eastAsia" w:ascii="宋体" w:hAnsi="宋体" w:eastAsia="宋体" w:cs="宋体"/>
                <w:szCs w:val="21"/>
                <w:u w:val="single"/>
              </w:rPr>
              <w:t>202</w:t>
            </w:r>
            <w:r>
              <w:rPr>
                <w:rFonts w:hint="eastAsia" w:ascii="宋体" w:hAnsi="宋体" w:eastAsia="宋体" w:cs="宋体"/>
                <w:szCs w:val="21"/>
                <w:u w:val="single"/>
                <w:lang w:val="en-US" w:eastAsia="zh-CN"/>
              </w:rPr>
              <w:t>5</w:t>
            </w:r>
            <w:r>
              <w:rPr>
                <w:rFonts w:hint="eastAsia" w:ascii="宋体" w:hAnsi="宋体" w:eastAsia="宋体" w:cs="宋体"/>
                <w:bCs/>
                <w:szCs w:val="21"/>
                <w:u w:val="single"/>
              </w:rPr>
              <w:t>年</w:t>
            </w:r>
            <w:r>
              <w:rPr>
                <w:rFonts w:hint="eastAsia" w:ascii="宋体" w:hAnsi="宋体" w:eastAsia="宋体" w:cs="宋体"/>
                <w:bCs/>
                <w:szCs w:val="21"/>
                <w:u w:val="single"/>
                <w:lang w:val="en-US" w:eastAsia="zh-CN"/>
              </w:rPr>
              <w:t>05</w:t>
            </w:r>
            <w:r>
              <w:rPr>
                <w:rFonts w:hint="eastAsia" w:ascii="宋体" w:hAnsi="宋体" w:eastAsia="宋体" w:cs="宋体"/>
                <w:bCs/>
                <w:szCs w:val="21"/>
                <w:u w:val="single"/>
              </w:rPr>
              <w:t>月</w:t>
            </w:r>
            <w:r>
              <w:rPr>
                <w:rFonts w:hint="eastAsia" w:ascii="宋体" w:hAnsi="宋体" w:cs="宋体"/>
                <w:bCs/>
                <w:szCs w:val="21"/>
                <w:u w:val="single"/>
                <w:lang w:val="en-US" w:eastAsia="zh-CN"/>
              </w:rPr>
              <w:t>27</w:t>
            </w:r>
            <w:r>
              <w:rPr>
                <w:rFonts w:hint="eastAsia" w:ascii="宋体" w:hAnsi="宋体" w:eastAsia="宋体" w:cs="宋体"/>
                <w:bCs/>
                <w:szCs w:val="21"/>
                <w:u w:val="single"/>
              </w:rPr>
              <w:t>日</w:t>
            </w:r>
            <w:r>
              <w:rPr>
                <w:rFonts w:hint="eastAsia" w:ascii="宋体" w:hAnsi="宋体" w:eastAsia="宋体" w:cs="宋体"/>
                <w:bCs/>
                <w:szCs w:val="21"/>
                <w:u w:val="single"/>
                <w:lang w:val="en-US" w:eastAsia="zh-CN"/>
              </w:rPr>
              <w:t>14</w:t>
            </w:r>
            <w:r>
              <w:rPr>
                <w:rFonts w:hint="eastAsia" w:ascii="宋体" w:hAnsi="宋体" w:eastAsia="宋体" w:cs="宋体"/>
                <w:bCs/>
                <w:szCs w:val="21"/>
                <w:u w:val="single"/>
              </w:rPr>
              <w:t>点30分</w:t>
            </w:r>
            <w:r>
              <w:rPr>
                <w:rFonts w:hint="eastAsia" w:ascii="宋体" w:hAnsi="宋体" w:eastAsia="宋体" w:cs="宋体"/>
                <w:bCs/>
                <w:szCs w:val="21"/>
              </w:rPr>
              <w:t>（北京时间）前递交响应文件</w:t>
            </w:r>
            <w:r>
              <w:rPr>
                <w:rFonts w:hint="eastAsia" w:ascii="宋体" w:hAnsi="宋体" w:eastAsia="宋体" w:cs="宋体"/>
                <w:szCs w:val="21"/>
              </w:rPr>
              <w:t>。</w:t>
            </w:r>
          </w:p>
        </w:tc>
      </w:tr>
    </w:tbl>
    <w:p w14:paraId="48023F73">
      <w:pPr>
        <w:tabs>
          <w:tab w:val="left" w:pos="900"/>
        </w:tabs>
        <w:spacing w:line="360" w:lineRule="auto"/>
        <w:rPr>
          <w:rFonts w:hint="eastAsia" w:ascii="宋体" w:hAnsi="宋体" w:eastAsia="宋体" w:cs="宋体"/>
          <w:b/>
          <w:bCs/>
          <w:szCs w:val="21"/>
        </w:rPr>
      </w:pPr>
      <w:r>
        <w:rPr>
          <w:rFonts w:hint="eastAsia" w:ascii="宋体" w:hAnsi="宋体" w:eastAsia="宋体" w:cs="宋体"/>
          <w:b/>
          <w:bCs/>
          <w:szCs w:val="21"/>
        </w:rPr>
        <w:t>一、项目基本情况</w:t>
      </w:r>
    </w:p>
    <w:p w14:paraId="1CE3926F">
      <w:pPr>
        <w:spacing w:line="360" w:lineRule="auto"/>
        <w:ind w:firstLine="420" w:firstLineChars="200"/>
        <w:outlineLvl w:val="0"/>
        <w:rPr>
          <w:rFonts w:hint="eastAsia" w:ascii="宋体" w:hAnsi="宋体" w:eastAsia="宋体" w:cs="宋体"/>
        </w:rPr>
      </w:pPr>
      <w:r>
        <w:rPr>
          <w:rFonts w:hint="eastAsia" w:ascii="宋体" w:hAnsi="宋体" w:eastAsia="宋体" w:cs="宋体"/>
          <w:lang w:val="zh-CN"/>
        </w:rPr>
        <w:t>1、项目编号：</w:t>
      </w:r>
      <w:r>
        <w:rPr>
          <w:rFonts w:hint="eastAsia" w:ascii="宋体" w:hAnsi="宋体" w:eastAsia="宋体" w:cs="宋体"/>
          <w:color w:val="000000"/>
          <w:szCs w:val="21"/>
          <w:lang w:eastAsia="zh-CN"/>
        </w:rPr>
        <w:t>JSZCZC2025024</w:t>
      </w:r>
      <w:r>
        <w:rPr>
          <w:rFonts w:hint="eastAsia" w:ascii="宋体" w:hAnsi="宋体" w:eastAsia="宋体" w:cs="宋体"/>
          <w:color w:val="000000"/>
          <w:szCs w:val="21"/>
        </w:rPr>
        <w:t>号</w:t>
      </w:r>
    </w:p>
    <w:p w14:paraId="489F79F9">
      <w:pPr>
        <w:spacing w:line="360" w:lineRule="auto"/>
        <w:ind w:firstLine="420" w:firstLineChars="200"/>
        <w:jc w:val="left"/>
        <w:outlineLvl w:val="0"/>
        <w:rPr>
          <w:rFonts w:hint="eastAsia" w:ascii="宋体" w:hAnsi="宋体" w:eastAsia="宋体" w:cs="宋体"/>
          <w:lang w:val="zh-CN" w:eastAsia="zh-CN"/>
        </w:rPr>
      </w:pPr>
      <w:r>
        <w:rPr>
          <w:rFonts w:hint="eastAsia" w:ascii="宋体" w:hAnsi="宋体" w:eastAsia="宋体" w:cs="宋体"/>
          <w:szCs w:val="21"/>
        </w:rPr>
        <w:t>2、项目名称：</w:t>
      </w:r>
      <w:r>
        <w:rPr>
          <w:rFonts w:hint="eastAsia" w:ascii="宋体" w:hAnsi="宋体" w:eastAsia="宋体" w:cs="宋体"/>
          <w:color w:val="000000"/>
          <w:szCs w:val="21"/>
          <w:lang w:eastAsia="zh-CN"/>
        </w:rPr>
        <w:t>2025-2026西花园南绿化养护工程</w:t>
      </w:r>
    </w:p>
    <w:p w14:paraId="4692F19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3、采购方式：竞争性磋商</w:t>
      </w:r>
    </w:p>
    <w:p w14:paraId="2D81A5D2">
      <w:pPr>
        <w:spacing w:line="360" w:lineRule="auto"/>
        <w:ind w:firstLine="420" w:firstLineChars="200"/>
        <w:rPr>
          <w:rFonts w:ascii="宋体" w:hAnsi="宋体" w:eastAsia="宋体" w:cs="宋体"/>
          <w:szCs w:val="21"/>
          <w:lang w:val="en-US" w:eastAsia="zh-CN"/>
        </w:rPr>
      </w:pPr>
      <w:r>
        <w:rPr>
          <w:rFonts w:hint="eastAsia" w:ascii="宋体" w:hAnsi="宋体" w:eastAsia="宋体" w:cs="宋体"/>
          <w:szCs w:val="21"/>
        </w:rPr>
        <w:t>4、预算金额：</w:t>
      </w:r>
      <w:r>
        <w:rPr>
          <w:rFonts w:hint="eastAsia" w:ascii="宋体" w:hAnsi="宋体" w:eastAsia="宋体" w:cs="宋体"/>
          <w:szCs w:val="21"/>
          <w:lang w:val="en-US" w:eastAsia="zh-CN"/>
        </w:rPr>
        <w:t>68万元</w:t>
      </w:r>
    </w:p>
    <w:p w14:paraId="14550E3E">
      <w:pPr>
        <w:spacing w:line="360" w:lineRule="auto"/>
        <w:ind w:firstLine="388" w:firstLineChars="200"/>
        <w:rPr>
          <w:rFonts w:hint="eastAsia" w:ascii="宋体" w:hAnsi="宋体" w:eastAsia="宋体" w:cs="宋体"/>
          <w:szCs w:val="21"/>
        </w:rPr>
      </w:pPr>
      <w:r>
        <w:rPr>
          <w:rFonts w:hint="eastAsia" w:ascii="宋体" w:hAnsi="宋体" w:eastAsia="宋体" w:cs="宋体"/>
          <w:spacing w:val="-8"/>
          <w:lang w:val="zh-CN"/>
        </w:rPr>
        <w:t>5、</w:t>
      </w:r>
      <w:r>
        <w:rPr>
          <w:rFonts w:hint="eastAsia" w:ascii="宋体" w:hAnsi="宋体" w:eastAsia="宋体" w:cs="宋体"/>
          <w:color w:val="000000"/>
          <w:szCs w:val="21"/>
        </w:rPr>
        <w:t>最高限价：</w:t>
      </w:r>
      <w:r>
        <w:rPr>
          <w:rFonts w:hint="eastAsia" w:ascii="宋体" w:hAnsi="宋体" w:eastAsia="宋体" w:cs="宋体"/>
          <w:kern w:val="1"/>
          <w:szCs w:val="21"/>
        </w:rPr>
        <w:t>本项目设定最高限价，按照预算金额下浮7%为</w:t>
      </w:r>
      <w:r>
        <w:rPr>
          <w:rFonts w:hint="eastAsia" w:ascii="宋体" w:hAnsi="宋体" w:eastAsia="宋体" w:cs="宋体"/>
          <w:kern w:val="1"/>
          <w:szCs w:val="21"/>
          <w:lang w:val="en-US" w:eastAsia="zh-CN"/>
        </w:rPr>
        <w:t>63.24</w:t>
      </w:r>
      <w:r>
        <w:rPr>
          <w:rFonts w:hint="eastAsia" w:ascii="宋体" w:hAnsi="宋体" w:eastAsia="宋体" w:cs="宋体"/>
          <w:kern w:val="1"/>
          <w:szCs w:val="21"/>
        </w:rPr>
        <w:t>万元，报价超过最高限价的为无效报价，按照无效响应处理。</w:t>
      </w:r>
    </w:p>
    <w:p w14:paraId="086707F0">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6、采购需求：</w:t>
      </w:r>
      <w:bookmarkStart w:id="2" w:name="_Toc38985264"/>
      <w:bookmarkStart w:id="3" w:name="_Toc28359003"/>
      <w:bookmarkStart w:id="4" w:name="_Toc28359080"/>
      <w:bookmarkStart w:id="5" w:name="_Toc35393622"/>
      <w:r>
        <w:rPr>
          <w:rFonts w:hint="eastAsia" w:ascii="宋体" w:hAnsi="宋体" w:eastAsia="宋体" w:cs="宋体"/>
          <w:szCs w:val="21"/>
          <w:lang w:val="en-US" w:eastAsia="zh-CN"/>
        </w:rPr>
        <w:t>西花园南片区绿化养护一年期二级养护约200000㎡，需对南片区内所有乔木、灌木、草丛、花卉等进行浇水、修剪、除草、打药、栽植更换时令花卉（根据采购人指示，一年至少更换4次时令花卉，每次更换面积至少为660m²,100株/m²）等，养护等级为绿化二级养护。具体详见磋商文件第四章。</w:t>
      </w:r>
    </w:p>
    <w:p w14:paraId="3A119D8D">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7、合同履行期限：</w:t>
      </w:r>
      <w:r>
        <w:rPr>
          <w:rFonts w:hint="eastAsia" w:ascii="宋体" w:hAnsi="宋体" w:eastAsia="宋体" w:cs="宋体"/>
          <w:szCs w:val="21"/>
          <w:lang w:val="en-US" w:eastAsia="zh-CN"/>
        </w:rPr>
        <w:t>一年</w:t>
      </w:r>
      <w:r>
        <w:rPr>
          <w:rFonts w:hint="eastAsia" w:ascii="宋体" w:hAnsi="宋体" w:eastAsia="宋体" w:cs="宋体"/>
          <w:szCs w:val="21"/>
        </w:rPr>
        <w:t>。</w:t>
      </w:r>
    </w:p>
    <w:bookmarkEnd w:id="2"/>
    <w:bookmarkEnd w:id="3"/>
    <w:bookmarkEnd w:id="4"/>
    <w:bookmarkEnd w:id="5"/>
    <w:p w14:paraId="6D4EB235">
      <w:pPr>
        <w:spacing w:line="360" w:lineRule="auto"/>
        <w:ind w:firstLine="420" w:firstLineChars="200"/>
        <w:rPr>
          <w:rFonts w:hint="eastAsia" w:ascii="宋体" w:hAnsi="宋体" w:eastAsia="宋体" w:cs="宋体"/>
          <w:kern w:val="1"/>
          <w:szCs w:val="21"/>
        </w:rPr>
      </w:pPr>
      <w:r>
        <w:rPr>
          <w:rFonts w:hint="eastAsia" w:ascii="宋体" w:hAnsi="宋体" w:eastAsia="宋体" w:cs="宋体"/>
          <w:kern w:val="1"/>
          <w:szCs w:val="21"/>
        </w:rPr>
        <w:t>8、本项目</w:t>
      </w:r>
      <w:r>
        <w:rPr>
          <w:rFonts w:hint="eastAsia" w:ascii="宋体" w:hAnsi="宋体" w:eastAsia="宋体" w:cs="宋体"/>
          <w:kern w:val="1"/>
          <w:szCs w:val="21"/>
          <w:u w:val="single"/>
        </w:rPr>
        <w:t>不接受</w:t>
      </w:r>
      <w:r>
        <w:rPr>
          <w:rFonts w:hint="eastAsia" w:ascii="宋体" w:hAnsi="宋体" w:eastAsia="宋体" w:cs="宋体"/>
          <w:kern w:val="1"/>
          <w:szCs w:val="21"/>
        </w:rPr>
        <w:t>联合体磋商。</w:t>
      </w:r>
    </w:p>
    <w:p w14:paraId="4ED5501D">
      <w:pPr>
        <w:spacing w:line="360" w:lineRule="auto"/>
        <w:ind w:firstLine="420" w:firstLineChars="200"/>
        <w:rPr>
          <w:rFonts w:hint="eastAsia" w:ascii="宋体" w:hAnsi="宋体" w:eastAsia="宋体" w:cs="宋体"/>
          <w:kern w:val="1"/>
          <w:szCs w:val="21"/>
        </w:rPr>
      </w:pPr>
      <w:r>
        <w:rPr>
          <w:rFonts w:hint="eastAsia" w:ascii="宋体" w:hAnsi="宋体" w:eastAsia="宋体" w:cs="宋体"/>
          <w:kern w:val="1"/>
          <w:szCs w:val="21"/>
        </w:rPr>
        <w:t>9、投标供应商应自行进行现场勘察以获取</w:t>
      </w:r>
      <w:r>
        <w:rPr>
          <w:rFonts w:hint="eastAsia" w:ascii="宋体" w:hAnsi="宋体" w:eastAsia="宋体" w:cs="宋体"/>
          <w:kern w:val="1"/>
          <w:szCs w:val="21"/>
          <w:lang w:val="en-US" w:eastAsia="zh-CN"/>
        </w:rPr>
        <w:t>磋商</w:t>
      </w:r>
      <w:r>
        <w:rPr>
          <w:rFonts w:hint="eastAsia" w:ascii="宋体" w:hAnsi="宋体" w:eastAsia="宋体" w:cs="宋体"/>
          <w:kern w:val="1"/>
          <w:szCs w:val="21"/>
        </w:rPr>
        <w:t>的相关信息。</w:t>
      </w:r>
    </w:p>
    <w:p w14:paraId="305B5114">
      <w:pPr>
        <w:tabs>
          <w:tab w:val="left" w:pos="900"/>
        </w:tabs>
        <w:spacing w:line="360" w:lineRule="auto"/>
        <w:rPr>
          <w:rFonts w:hint="eastAsia" w:ascii="宋体" w:hAnsi="宋体" w:eastAsia="宋体" w:cs="宋体"/>
          <w:b/>
          <w:bCs/>
          <w:szCs w:val="21"/>
        </w:rPr>
      </w:pPr>
      <w:r>
        <w:rPr>
          <w:rFonts w:hint="eastAsia" w:ascii="宋体" w:hAnsi="宋体" w:eastAsia="宋体" w:cs="宋体"/>
          <w:b/>
          <w:bCs/>
          <w:szCs w:val="21"/>
        </w:rPr>
        <w:t>二、申请人的资格要求：</w:t>
      </w:r>
    </w:p>
    <w:p w14:paraId="76DB74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1、满足以下规定，并提供下列材料：</w:t>
      </w:r>
    </w:p>
    <w:p w14:paraId="2BDCE527">
      <w:pPr>
        <w:spacing w:line="360" w:lineRule="auto"/>
        <w:ind w:firstLine="420" w:firstLineChars="200"/>
        <w:rPr>
          <w:rFonts w:hint="eastAsia" w:ascii="宋体" w:hAnsi="宋体" w:eastAsia="宋体" w:cs="宋体"/>
          <w:i/>
          <w:kern w:val="0"/>
          <w:szCs w:val="21"/>
          <w:u w:val="single"/>
        </w:rPr>
      </w:pPr>
      <w:bookmarkStart w:id="6" w:name="_Toc28359001"/>
      <w:bookmarkStart w:id="7" w:name="_Toc38985262"/>
      <w:r>
        <w:rPr>
          <w:rFonts w:hint="eastAsia" w:ascii="宋体" w:hAnsi="宋体" w:eastAsia="宋体" w:cs="宋体"/>
          <w:i/>
          <w:kern w:val="0"/>
          <w:szCs w:val="21"/>
          <w:u w:val="single"/>
        </w:rPr>
        <w:t>（1）磋商响应函</w:t>
      </w:r>
      <w:r>
        <w:rPr>
          <w:rFonts w:hint="eastAsia" w:ascii="宋体" w:hAnsi="宋体" w:eastAsia="宋体" w:cs="宋体"/>
          <w:b/>
          <w:i/>
          <w:kern w:val="0"/>
          <w:szCs w:val="21"/>
          <w:u w:val="single"/>
        </w:rPr>
        <w:t>(原件)</w:t>
      </w:r>
    </w:p>
    <w:p w14:paraId="3FCC6C57">
      <w:pPr>
        <w:spacing w:line="360" w:lineRule="auto"/>
        <w:ind w:firstLine="420" w:firstLineChars="200"/>
        <w:rPr>
          <w:rFonts w:hint="eastAsia" w:ascii="宋体" w:hAnsi="宋体" w:eastAsia="宋体" w:cs="宋体"/>
          <w:i/>
          <w:kern w:val="0"/>
          <w:szCs w:val="21"/>
          <w:u w:val="single"/>
        </w:rPr>
      </w:pPr>
      <w:r>
        <w:rPr>
          <w:rFonts w:hint="eastAsia" w:ascii="宋体" w:hAnsi="宋体" w:eastAsia="宋体" w:cs="宋体"/>
          <w:i/>
          <w:kern w:val="0"/>
          <w:szCs w:val="21"/>
          <w:u w:val="single"/>
        </w:rPr>
        <w:t>（2）资格声明</w:t>
      </w:r>
      <w:r>
        <w:rPr>
          <w:rFonts w:hint="eastAsia" w:ascii="宋体" w:hAnsi="宋体" w:eastAsia="宋体" w:cs="宋体"/>
          <w:b/>
          <w:i/>
          <w:kern w:val="0"/>
          <w:szCs w:val="21"/>
          <w:u w:val="single"/>
        </w:rPr>
        <w:t>(原件)</w:t>
      </w:r>
    </w:p>
    <w:p w14:paraId="1726B6D4">
      <w:pPr>
        <w:spacing w:line="360" w:lineRule="auto"/>
        <w:ind w:firstLine="420" w:firstLineChars="200"/>
        <w:rPr>
          <w:rFonts w:hint="eastAsia" w:ascii="宋体" w:hAnsi="宋体" w:eastAsia="宋体" w:cs="宋体"/>
          <w:b/>
          <w:bCs/>
          <w:i/>
          <w:kern w:val="0"/>
          <w:szCs w:val="21"/>
          <w:u w:val="single"/>
        </w:rPr>
      </w:pPr>
      <w:r>
        <w:rPr>
          <w:rFonts w:hint="eastAsia" w:ascii="宋体" w:hAnsi="宋体" w:eastAsia="宋体" w:cs="宋体"/>
          <w:i/>
          <w:kern w:val="0"/>
          <w:szCs w:val="21"/>
          <w:u w:val="single"/>
        </w:rPr>
        <w:t>（3）若法定代表人参加磋商的，须提供本人身份证</w:t>
      </w:r>
      <w:r>
        <w:rPr>
          <w:rFonts w:hint="eastAsia" w:ascii="宋体" w:hAnsi="宋体" w:eastAsia="宋体" w:cs="宋体"/>
          <w:b/>
          <w:i/>
          <w:kern w:val="0"/>
          <w:szCs w:val="21"/>
          <w:u w:val="single"/>
        </w:rPr>
        <w:t>复印件加盖供应商公章(原件备查)</w:t>
      </w:r>
      <w:r>
        <w:rPr>
          <w:rFonts w:hint="eastAsia" w:ascii="宋体" w:hAnsi="宋体" w:eastAsia="宋体" w:cs="宋体"/>
          <w:i/>
          <w:kern w:val="0"/>
          <w:szCs w:val="21"/>
          <w:u w:val="single"/>
        </w:rPr>
        <w:t>；若授权代表参加的，须提供《法人授权书》</w:t>
      </w:r>
      <w:r>
        <w:rPr>
          <w:rFonts w:hint="eastAsia" w:ascii="宋体" w:hAnsi="宋体" w:eastAsia="宋体" w:cs="宋体"/>
          <w:b/>
          <w:i/>
          <w:kern w:val="0"/>
          <w:szCs w:val="21"/>
          <w:u w:val="single"/>
        </w:rPr>
        <w:t>原件</w:t>
      </w:r>
      <w:r>
        <w:rPr>
          <w:rFonts w:hint="eastAsia" w:ascii="宋体" w:hAnsi="宋体" w:eastAsia="宋体" w:cs="宋体"/>
          <w:bCs/>
          <w:i/>
          <w:kern w:val="0"/>
          <w:szCs w:val="21"/>
          <w:u w:val="single"/>
        </w:rPr>
        <w:t>和</w:t>
      </w:r>
      <w:r>
        <w:rPr>
          <w:rFonts w:hint="eastAsia" w:ascii="宋体" w:hAnsi="宋体" w:eastAsia="宋体" w:cs="宋体"/>
          <w:i/>
          <w:kern w:val="0"/>
          <w:szCs w:val="21"/>
          <w:u w:val="single"/>
        </w:rPr>
        <w:t>授权代表身份证</w:t>
      </w:r>
      <w:r>
        <w:rPr>
          <w:rFonts w:hint="eastAsia" w:ascii="宋体" w:hAnsi="宋体" w:eastAsia="宋体" w:cs="宋体"/>
          <w:b/>
          <w:bCs/>
          <w:i/>
          <w:kern w:val="0"/>
          <w:szCs w:val="21"/>
          <w:u w:val="single"/>
        </w:rPr>
        <w:t>复印件</w:t>
      </w:r>
      <w:r>
        <w:rPr>
          <w:rFonts w:hint="eastAsia" w:ascii="宋体" w:hAnsi="宋体" w:eastAsia="宋体" w:cs="宋体"/>
          <w:b/>
          <w:i/>
          <w:kern w:val="0"/>
          <w:szCs w:val="21"/>
          <w:u w:val="single"/>
        </w:rPr>
        <w:t>加盖供应商公章（原件备查）</w:t>
      </w:r>
      <w:r>
        <w:rPr>
          <w:rFonts w:hint="eastAsia" w:ascii="宋体" w:hAnsi="宋体" w:eastAsia="宋体" w:cs="宋体"/>
          <w:i/>
          <w:kern w:val="0"/>
          <w:szCs w:val="21"/>
          <w:u w:val="single"/>
        </w:rPr>
        <w:t>；</w:t>
      </w:r>
    </w:p>
    <w:p w14:paraId="33B54123">
      <w:pPr>
        <w:spacing w:line="360" w:lineRule="auto"/>
        <w:ind w:firstLine="420" w:firstLineChars="200"/>
        <w:rPr>
          <w:rFonts w:hint="eastAsia" w:ascii="宋体" w:hAnsi="宋体" w:eastAsia="宋体" w:cs="宋体"/>
          <w:i/>
          <w:kern w:val="0"/>
          <w:szCs w:val="21"/>
          <w:u w:val="single"/>
        </w:rPr>
      </w:pPr>
      <w:r>
        <w:rPr>
          <w:rFonts w:hint="eastAsia" w:ascii="宋体" w:hAnsi="宋体" w:eastAsia="宋体" w:cs="宋体"/>
          <w:i/>
          <w:kern w:val="0"/>
          <w:szCs w:val="21"/>
          <w:u w:val="single"/>
        </w:rPr>
        <w:t>（4）营业执照副本</w:t>
      </w:r>
      <w:r>
        <w:rPr>
          <w:rFonts w:hint="eastAsia" w:ascii="宋体" w:hAnsi="宋体" w:eastAsia="宋体" w:cs="宋体"/>
          <w:b/>
          <w:bCs/>
          <w:i/>
          <w:kern w:val="0"/>
          <w:szCs w:val="21"/>
          <w:u w:val="single"/>
        </w:rPr>
        <w:t>（复印件加盖供应商公章）</w:t>
      </w:r>
    </w:p>
    <w:p w14:paraId="50325471">
      <w:pPr>
        <w:spacing w:line="360" w:lineRule="auto"/>
        <w:ind w:firstLine="420" w:firstLineChars="200"/>
        <w:rPr>
          <w:rFonts w:hint="eastAsia" w:ascii="宋体" w:hAnsi="宋体" w:eastAsia="宋体" w:cs="宋体"/>
          <w:i/>
          <w:kern w:val="0"/>
          <w:szCs w:val="21"/>
          <w:highlight w:val="none"/>
          <w:u w:val="single"/>
        </w:rPr>
      </w:pPr>
      <w:r>
        <w:rPr>
          <w:rFonts w:hint="eastAsia" w:ascii="宋体" w:hAnsi="宋体" w:eastAsia="宋体" w:cs="宋体"/>
          <w:i/>
          <w:kern w:val="0"/>
          <w:szCs w:val="21"/>
          <w:u w:val="single"/>
        </w:rPr>
        <w:t>（5）依法缴</w:t>
      </w:r>
      <w:r>
        <w:rPr>
          <w:rFonts w:hint="eastAsia" w:ascii="宋体" w:hAnsi="宋体" w:eastAsia="宋体" w:cs="宋体"/>
          <w:i/>
          <w:kern w:val="0"/>
          <w:szCs w:val="21"/>
          <w:highlight w:val="none"/>
          <w:u w:val="single"/>
        </w:rPr>
        <w:t>纳职工社会保障资金的证明材料</w:t>
      </w:r>
      <w:r>
        <w:rPr>
          <w:rFonts w:hint="eastAsia" w:ascii="宋体" w:hAnsi="宋体" w:eastAsia="宋体" w:cs="宋体"/>
          <w:b/>
          <w:bCs/>
          <w:i/>
          <w:kern w:val="0"/>
          <w:szCs w:val="21"/>
          <w:highlight w:val="none"/>
          <w:u w:val="single"/>
        </w:rPr>
        <w:t>(复印件加盖供应商公章</w:t>
      </w:r>
      <w:r>
        <w:rPr>
          <w:rFonts w:hint="eastAsia" w:ascii="宋体" w:hAnsi="宋体" w:eastAsia="宋体" w:cs="宋体"/>
          <w:i/>
          <w:kern w:val="0"/>
          <w:szCs w:val="21"/>
          <w:highlight w:val="none"/>
          <w:u w:val="single"/>
        </w:rPr>
        <w:t>)(税务、银行或社会保险基金管理部门出具的近三个月</w:t>
      </w:r>
      <w:r>
        <w:rPr>
          <w:rFonts w:hint="eastAsia" w:ascii="宋体" w:hAnsi="宋体" w:eastAsia="宋体" w:cs="宋体"/>
          <w:b/>
          <w:bCs/>
          <w:i/>
          <w:kern w:val="0"/>
          <w:szCs w:val="21"/>
          <w:highlight w:val="none"/>
          <w:u w:val="single"/>
        </w:rPr>
        <w:t>（202</w:t>
      </w:r>
      <w:r>
        <w:rPr>
          <w:rFonts w:hint="eastAsia" w:ascii="宋体" w:hAnsi="宋体" w:eastAsia="宋体" w:cs="宋体"/>
          <w:b/>
          <w:bCs/>
          <w:i/>
          <w:kern w:val="0"/>
          <w:szCs w:val="21"/>
          <w:highlight w:val="none"/>
          <w:u w:val="single"/>
          <w:lang w:val="en-US" w:eastAsia="zh-CN"/>
        </w:rPr>
        <w:t>5</w:t>
      </w:r>
      <w:r>
        <w:rPr>
          <w:rFonts w:hint="eastAsia" w:ascii="宋体" w:hAnsi="宋体" w:eastAsia="宋体" w:cs="宋体"/>
          <w:b/>
          <w:bCs/>
          <w:i/>
          <w:kern w:val="0"/>
          <w:szCs w:val="21"/>
          <w:highlight w:val="none"/>
          <w:u w:val="single"/>
        </w:rPr>
        <w:t>年</w:t>
      </w:r>
      <w:r>
        <w:rPr>
          <w:rFonts w:hint="eastAsia" w:ascii="宋体" w:hAnsi="宋体" w:eastAsia="宋体" w:cs="宋体"/>
          <w:b/>
          <w:bCs/>
          <w:i/>
          <w:kern w:val="0"/>
          <w:szCs w:val="21"/>
          <w:highlight w:val="none"/>
          <w:u w:val="single"/>
          <w:lang w:val="en-US" w:eastAsia="zh-CN"/>
        </w:rPr>
        <w:t>3</w:t>
      </w:r>
      <w:r>
        <w:rPr>
          <w:rFonts w:hint="eastAsia" w:ascii="宋体" w:hAnsi="宋体" w:eastAsia="宋体" w:cs="宋体"/>
          <w:b/>
          <w:bCs/>
          <w:i/>
          <w:kern w:val="0"/>
          <w:szCs w:val="21"/>
          <w:highlight w:val="none"/>
          <w:u w:val="single"/>
        </w:rPr>
        <w:t>月至202</w:t>
      </w:r>
      <w:r>
        <w:rPr>
          <w:rFonts w:hint="eastAsia" w:ascii="宋体" w:hAnsi="宋体" w:eastAsia="宋体" w:cs="宋体"/>
          <w:b/>
          <w:bCs/>
          <w:i/>
          <w:kern w:val="0"/>
          <w:szCs w:val="21"/>
          <w:highlight w:val="none"/>
          <w:u w:val="single"/>
          <w:lang w:val="en-US" w:eastAsia="zh-CN"/>
        </w:rPr>
        <w:t>5</w:t>
      </w:r>
      <w:r>
        <w:rPr>
          <w:rFonts w:hint="eastAsia" w:ascii="宋体" w:hAnsi="宋体" w:eastAsia="宋体" w:cs="宋体"/>
          <w:b/>
          <w:bCs/>
          <w:i/>
          <w:kern w:val="0"/>
          <w:szCs w:val="21"/>
          <w:highlight w:val="none"/>
          <w:u w:val="single"/>
        </w:rPr>
        <w:t>年</w:t>
      </w:r>
      <w:r>
        <w:rPr>
          <w:rFonts w:hint="eastAsia" w:ascii="宋体" w:hAnsi="宋体" w:eastAsia="宋体" w:cs="宋体"/>
          <w:b/>
          <w:bCs/>
          <w:i/>
          <w:kern w:val="0"/>
          <w:szCs w:val="21"/>
          <w:highlight w:val="none"/>
          <w:u w:val="single"/>
          <w:lang w:val="en-US" w:eastAsia="zh-CN"/>
        </w:rPr>
        <w:t>5</w:t>
      </w:r>
      <w:r>
        <w:rPr>
          <w:rFonts w:hint="eastAsia" w:ascii="宋体" w:hAnsi="宋体" w:eastAsia="宋体" w:cs="宋体"/>
          <w:b/>
          <w:bCs/>
          <w:i/>
          <w:kern w:val="0"/>
          <w:szCs w:val="21"/>
          <w:highlight w:val="none"/>
          <w:u w:val="single"/>
        </w:rPr>
        <w:t>月）</w:t>
      </w:r>
      <w:r>
        <w:rPr>
          <w:rFonts w:hint="eastAsia" w:ascii="宋体" w:hAnsi="宋体" w:eastAsia="宋体" w:cs="宋体"/>
          <w:i/>
          <w:kern w:val="0"/>
          <w:szCs w:val="21"/>
          <w:highlight w:val="none"/>
          <w:u w:val="single"/>
        </w:rPr>
        <w:t>内任意一个月缴纳职工社会保障资金的缴款凭证或缴款证明)</w:t>
      </w:r>
    </w:p>
    <w:p w14:paraId="67BDE9CF">
      <w:pPr>
        <w:spacing w:line="360" w:lineRule="auto"/>
        <w:ind w:firstLine="420" w:firstLineChars="200"/>
        <w:rPr>
          <w:rFonts w:hint="eastAsia" w:ascii="宋体" w:hAnsi="宋体" w:eastAsia="宋体" w:cs="宋体"/>
          <w:b/>
          <w:bCs/>
          <w:i/>
          <w:kern w:val="0"/>
          <w:szCs w:val="21"/>
          <w:highlight w:val="none"/>
          <w:u w:val="single"/>
        </w:rPr>
      </w:pPr>
      <w:r>
        <w:rPr>
          <w:rFonts w:hint="eastAsia" w:ascii="宋体" w:hAnsi="宋体" w:eastAsia="宋体" w:cs="宋体"/>
          <w:i/>
          <w:kern w:val="0"/>
          <w:szCs w:val="21"/>
          <w:highlight w:val="none"/>
          <w:u w:val="single"/>
        </w:rPr>
        <w:t>（6）供应商近三个月</w:t>
      </w:r>
      <w:r>
        <w:rPr>
          <w:rFonts w:hint="eastAsia" w:ascii="宋体" w:hAnsi="宋体" w:eastAsia="宋体" w:cs="宋体"/>
          <w:b/>
          <w:bCs/>
          <w:i/>
          <w:kern w:val="0"/>
          <w:szCs w:val="21"/>
          <w:highlight w:val="none"/>
          <w:u w:val="single"/>
        </w:rPr>
        <w:t>（202</w:t>
      </w:r>
      <w:r>
        <w:rPr>
          <w:rFonts w:hint="eastAsia" w:ascii="宋体" w:hAnsi="宋体" w:eastAsia="宋体" w:cs="宋体"/>
          <w:b/>
          <w:bCs/>
          <w:i/>
          <w:kern w:val="0"/>
          <w:szCs w:val="21"/>
          <w:highlight w:val="none"/>
          <w:u w:val="single"/>
          <w:lang w:val="en-US" w:eastAsia="zh-CN"/>
        </w:rPr>
        <w:t>5</w:t>
      </w:r>
      <w:r>
        <w:rPr>
          <w:rFonts w:hint="eastAsia" w:ascii="宋体" w:hAnsi="宋体" w:eastAsia="宋体" w:cs="宋体"/>
          <w:b/>
          <w:bCs/>
          <w:i/>
          <w:kern w:val="0"/>
          <w:szCs w:val="21"/>
          <w:highlight w:val="none"/>
          <w:u w:val="single"/>
        </w:rPr>
        <w:t>年</w:t>
      </w:r>
      <w:r>
        <w:rPr>
          <w:rFonts w:hint="eastAsia" w:ascii="宋体" w:hAnsi="宋体" w:eastAsia="宋体" w:cs="宋体"/>
          <w:b/>
          <w:bCs/>
          <w:i/>
          <w:kern w:val="0"/>
          <w:szCs w:val="21"/>
          <w:highlight w:val="none"/>
          <w:u w:val="single"/>
          <w:lang w:val="en-US" w:eastAsia="zh-CN"/>
        </w:rPr>
        <w:t>3</w:t>
      </w:r>
      <w:r>
        <w:rPr>
          <w:rFonts w:hint="eastAsia" w:ascii="宋体" w:hAnsi="宋体" w:eastAsia="宋体" w:cs="宋体"/>
          <w:b/>
          <w:bCs/>
          <w:i/>
          <w:kern w:val="0"/>
          <w:szCs w:val="21"/>
          <w:highlight w:val="none"/>
          <w:u w:val="single"/>
        </w:rPr>
        <w:t>月至202</w:t>
      </w:r>
      <w:r>
        <w:rPr>
          <w:rFonts w:hint="eastAsia" w:ascii="宋体" w:hAnsi="宋体" w:eastAsia="宋体" w:cs="宋体"/>
          <w:b/>
          <w:bCs/>
          <w:i/>
          <w:kern w:val="0"/>
          <w:szCs w:val="21"/>
          <w:highlight w:val="none"/>
          <w:u w:val="single"/>
          <w:lang w:val="en-US" w:eastAsia="zh-CN"/>
        </w:rPr>
        <w:t>5</w:t>
      </w:r>
      <w:r>
        <w:rPr>
          <w:rFonts w:hint="eastAsia" w:ascii="宋体" w:hAnsi="宋体" w:eastAsia="宋体" w:cs="宋体"/>
          <w:b/>
          <w:bCs/>
          <w:i/>
          <w:kern w:val="0"/>
          <w:szCs w:val="21"/>
          <w:highlight w:val="none"/>
          <w:u w:val="single"/>
        </w:rPr>
        <w:t>年</w:t>
      </w:r>
      <w:r>
        <w:rPr>
          <w:rFonts w:hint="eastAsia" w:ascii="宋体" w:hAnsi="宋体" w:eastAsia="宋体" w:cs="宋体"/>
          <w:b/>
          <w:bCs/>
          <w:i/>
          <w:kern w:val="0"/>
          <w:szCs w:val="21"/>
          <w:highlight w:val="none"/>
          <w:u w:val="single"/>
          <w:lang w:val="en-US" w:eastAsia="zh-CN"/>
        </w:rPr>
        <w:t>5</w:t>
      </w:r>
      <w:r>
        <w:rPr>
          <w:rFonts w:hint="eastAsia" w:ascii="宋体" w:hAnsi="宋体" w:eastAsia="宋体" w:cs="宋体"/>
          <w:b/>
          <w:bCs/>
          <w:i/>
          <w:kern w:val="0"/>
          <w:szCs w:val="21"/>
          <w:highlight w:val="none"/>
          <w:u w:val="single"/>
        </w:rPr>
        <w:t>月）</w:t>
      </w:r>
      <w:r>
        <w:rPr>
          <w:rFonts w:hint="eastAsia" w:ascii="宋体" w:hAnsi="宋体" w:eastAsia="宋体" w:cs="宋体"/>
          <w:i/>
          <w:kern w:val="0"/>
          <w:szCs w:val="21"/>
          <w:highlight w:val="none"/>
          <w:u w:val="single"/>
        </w:rPr>
        <w:t>内任意一个月依法纳税的缴款凭证</w:t>
      </w:r>
      <w:r>
        <w:rPr>
          <w:rFonts w:hint="eastAsia" w:ascii="宋体" w:hAnsi="宋体" w:eastAsia="宋体" w:cs="宋体"/>
          <w:b/>
          <w:bCs/>
          <w:i/>
          <w:kern w:val="0"/>
          <w:szCs w:val="21"/>
          <w:highlight w:val="none"/>
          <w:u w:val="single"/>
        </w:rPr>
        <w:t>(复印件加盖供应商公章)</w:t>
      </w:r>
    </w:p>
    <w:p w14:paraId="17E48499">
      <w:pPr>
        <w:shd w:val="clear" w:color="auto" w:fill="auto"/>
        <w:spacing w:line="360" w:lineRule="auto"/>
        <w:ind w:firstLine="420" w:firstLineChars="200"/>
        <w:rPr>
          <w:rFonts w:hint="eastAsia" w:ascii="宋体" w:hAnsi="宋体" w:eastAsia="宋体" w:cs="宋体"/>
          <w:i/>
          <w:kern w:val="0"/>
          <w:szCs w:val="21"/>
          <w:u w:val="single"/>
        </w:rPr>
      </w:pPr>
      <w:r>
        <w:rPr>
          <w:rFonts w:hint="eastAsia" w:ascii="宋体" w:hAnsi="宋体" w:eastAsia="宋体" w:cs="宋体"/>
          <w:i/>
          <w:kern w:val="0"/>
          <w:szCs w:val="21"/>
          <w:u w:val="single"/>
        </w:rPr>
        <w:t>（7）上一年度财务报告（成立不满一年不需提供，如2024年度财务审计报告未出，可提供2023年财务审计报告）</w:t>
      </w:r>
      <w:r>
        <w:rPr>
          <w:rFonts w:hint="eastAsia" w:ascii="宋体" w:hAnsi="宋体" w:eastAsia="宋体" w:cs="宋体"/>
          <w:b/>
          <w:bCs/>
          <w:i/>
          <w:kern w:val="0"/>
          <w:szCs w:val="21"/>
          <w:u w:val="single"/>
        </w:rPr>
        <w:t>(复印件加盖供应商公章)</w:t>
      </w:r>
    </w:p>
    <w:p w14:paraId="2F2CB796">
      <w:pPr>
        <w:spacing w:line="360" w:lineRule="auto"/>
        <w:ind w:firstLine="420" w:firstLineChars="200"/>
        <w:rPr>
          <w:rFonts w:hint="eastAsia" w:ascii="宋体" w:hAnsi="宋体" w:eastAsia="宋体" w:cs="宋体"/>
          <w:b/>
          <w:bCs/>
          <w:i/>
          <w:kern w:val="0"/>
          <w:szCs w:val="21"/>
          <w:u w:val="single"/>
        </w:rPr>
      </w:pPr>
      <w:r>
        <w:rPr>
          <w:rFonts w:hint="eastAsia" w:ascii="宋体" w:hAnsi="宋体" w:eastAsia="宋体" w:cs="宋体"/>
          <w:i/>
          <w:kern w:val="0"/>
          <w:szCs w:val="21"/>
          <w:u w:val="single"/>
        </w:rPr>
        <w:t>（8）供应商参加本次采购活动前3年内在经营活动中没有重大违法记录的书面声明（</w:t>
      </w:r>
      <w:r>
        <w:rPr>
          <w:rFonts w:hint="eastAsia" w:ascii="宋体" w:hAnsi="宋体" w:eastAsia="宋体" w:cs="宋体"/>
          <w:b/>
          <w:bCs/>
          <w:i/>
          <w:kern w:val="0"/>
          <w:szCs w:val="21"/>
          <w:u w:val="single"/>
        </w:rPr>
        <w:t>原件）</w:t>
      </w:r>
    </w:p>
    <w:p w14:paraId="73C9DE60">
      <w:pPr>
        <w:spacing w:line="360" w:lineRule="auto"/>
        <w:ind w:firstLine="420" w:firstLineChars="200"/>
        <w:rPr>
          <w:rFonts w:hint="eastAsia" w:ascii="宋体" w:hAnsi="宋体" w:eastAsia="宋体" w:cs="宋体"/>
          <w:i/>
          <w:kern w:val="0"/>
          <w:szCs w:val="21"/>
          <w:u w:val="single"/>
        </w:rPr>
      </w:pPr>
      <w:r>
        <w:rPr>
          <w:rFonts w:hint="eastAsia" w:ascii="宋体" w:hAnsi="宋体" w:eastAsia="宋体" w:cs="宋体"/>
          <w:i/>
          <w:kern w:val="0"/>
          <w:szCs w:val="21"/>
          <w:u w:val="single"/>
        </w:rPr>
        <w:t>（9）未被“信用中国”网站（www.creditchina.gov.cn）、“中国政府采购网"(www.ccgp.gov.cn)列入失信被执行人、重大税收违法案件当事人名单、政府采购严重违法失信行为记录名单</w:t>
      </w:r>
      <w:r>
        <w:rPr>
          <w:rFonts w:hint="eastAsia" w:ascii="宋体" w:hAnsi="宋体" w:eastAsia="宋体" w:cs="宋体"/>
          <w:b/>
          <w:bCs/>
          <w:i/>
          <w:iCs/>
          <w:kern w:val="0"/>
          <w:szCs w:val="21"/>
          <w:u w:val="single"/>
          <w:lang w:val="en"/>
        </w:rPr>
        <w:t>（提供网页查询截图并加盖供应商公章，查询时间为自公告发布至开标截止时间前任意时间）</w:t>
      </w:r>
    </w:p>
    <w:p w14:paraId="0428F66E">
      <w:pPr>
        <w:spacing w:line="360" w:lineRule="auto"/>
        <w:ind w:firstLine="420" w:firstLineChars="200"/>
        <w:rPr>
          <w:rFonts w:hint="eastAsia" w:ascii="宋体" w:hAnsi="宋体" w:eastAsia="宋体" w:cs="宋体"/>
          <w:b/>
          <w:bCs/>
          <w:i/>
          <w:kern w:val="0"/>
          <w:szCs w:val="21"/>
          <w:u w:val="single"/>
        </w:rPr>
      </w:pPr>
      <w:r>
        <w:rPr>
          <w:rFonts w:hint="eastAsia" w:ascii="宋体" w:hAnsi="宋体" w:eastAsia="宋体" w:cs="宋体"/>
          <w:i/>
          <w:kern w:val="0"/>
          <w:szCs w:val="21"/>
          <w:u w:val="single"/>
        </w:rPr>
        <w:t>（10）供应商信用承诺书</w:t>
      </w:r>
      <w:r>
        <w:rPr>
          <w:rFonts w:hint="eastAsia" w:ascii="宋体" w:hAnsi="宋体" w:eastAsia="宋体" w:cs="宋体"/>
          <w:b/>
          <w:bCs/>
          <w:i/>
          <w:kern w:val="0"/>
          <w:szCs w:val="21"/>
          <w:u w:val="single"/>
        </w:rPr>
        <w:t>（原件）</w:t>
      </w:r>
    </w:p>
    <w:p w14:paraId="4E93A903">
      <w:pPr>
        <w:numPr>
          <w:ilvl w:val="0"/>
          <w:numId w:val="4"/>
        </w:numPr>
        <w:spacing w:line="360" w:lineRule="auto"/>
        <w:ind w:firstLine="420" w:firstLineChars="200"/>
        <w:jc w:val="left"/>
        <w:rPr>
          <w:rFonts w:hint="eastAsia" w:ascii="宋体" w:hAnsi="宋体" w:eastAsia="宋体" w:cs="宋体"/>
          <w:i/>
          <w:color w:val="000000"/>
          <w:highlight w:val="none"/>
          <w:u w:val="single"/>
        </w:rPr>
      </w:pPr>
      <w:r>
        <w:rPr>
          <w:rFonts w:hint="eastAsia" w:ascii="宋体" w:hAnsi="宋体" w:eastAsia="宋体" w:cs="宋体"/>
        </w:rPr>
        <w:t>落实采购政策需满足的资格要求：</w:t>
      </w:r>
      <w:r>
        <w:rPr>
          <w:rFonts w:hint="eastAsia" w:ascii="宋体" w:hAnsi="宋体" w:eastAsia="宋体" w:cs="宋体"/>
          <w:i/>
          <w:color w:val="000000"/>
          <w:u w:val="single"/>
        </w:rPr>
        <w:t>无</w:t>
      </w:r>
    </w:p>
    <w:bookmarkEnd w:id="6"/>
    <w:bookmarkEnd w:id="7"/>
    <w:p w14:paraId="053A2D2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3、本项目的特定资格要求：</w:t>
      </w:r>
      <w:r>
        <w:rPr>
          <w:rFonts w:hint="eastAsia" w:ascii="宋体" w:hAnsi="宋体" w:cs="Arial"/>
          <w:bCs/>
          <w:i/>
          <w:iCs/>
          <w:szCs w:val="21"/>
          <w:highlight w:val="none"/>
          <w:u w:val="single"/>
        </w:rPr>
        <w:t>供应商为</w:t>
      </w:r>
      <w:r>
        <w:rPr>
          <w:rFonts w:hint="eastAsia" w:ascii="宋体" w:hAnsi="宋体" w:cs="Arial"/>
          <w:bCs/>
          <w:i/>
          <w:iCs/>
          <w:szCs w:val="21"/>
          <w:highlight w:val="none"/>
          <w:u w:val="single"/>
          <w:lang w:val="en-US" w:eastAsia="zh-CN"/>
        </w:rPr>
        <w:t>授权委托人</w:t>
      </w:r>
      <w:r>
        <w:rPr>
          <w:rFonts w:hint="eastAsia" w:ascii="宋体" w:hAnsi="宋体" w:cs="Arial"/>
          <w:bCs/>
          <w:i/>
          <w:iCs/>
          <w:szCs w:val="21"/>
          <w:highlight w:val="none"/>
          <w:u w:val="single"/>
        </w:rPr>
        <w:t>缴纳的</w:t>
      </w:r>
      <w:r>
        <w:rPr>
          <w:rFonts w:hint="eastAsia" w:ascii="宋体" w:hAnsi="宋体" w:cs="宋体"/>
          <w:i/>
          <w:kern w:val="0"/>
          <w:szCs w:val="21"/>
          <w:highlight w:val="none"/>
          <w:u w:val="single"/>
          <w:lang w:eastAsia="zh-CN"/>
        </w:rPr>
        <w:t>202</w:t>
      </w:r>
      <w:r>
        <w:rPr>
          <w:rFonts w:hint="eastAsia" w:ascii="宋体" w:hAnsi="宋体" w:cs="宋体"/>
          <w:i/>
          <w:kern w:val="0"/>
          <w:szCs w:val="21"/>
          <w:highlight w:val="none"/>
          <w:u w:val="single"/>
          <w:lang w:val="en-US" w:eastAsia="zh-CN"/>
        </w:rPr>
        <w:t>5</w:t>
      </w:r>
      <w:r>
        <w:rPr>
          <w:rFonts w:hint="eastAsia" w:ascii="宋体" w:hAnsi="宋体" w:cs="宋体"/>
          <w:i/>
          <w:kern w:val="0"/>
          <w:szCs w:val="21"/>
          <w:highlight w:val="none"/>
          <w:u w:val="single"/>
          <w:lang w:eastAsia="zh-CN"/>
        </w:rPr>
        <w:t>年</w:t>
      </w:r>
      <w:r>
        <w:rPr>
          <w:rFonts w:hint="eastAsia" w:ascii="宋体" w:hAnsi="宋体" w:cs="宋体"/>
          <w:i/>
          <w:kern w:val="0"/>
          <w:szCs w:val="21"/>
          <w:highlight w:val="none"/>
          <w:u w:val="single"/>
          <w:lang w:val="en-US" w:eastAsia="zh-CN"/>
        </w:rPr>
        <w:t>3</w:t>
      </w:r>
      <w:r>
        <w:rPr>
          <w:rFonts w:hint="eastAsia" w:ascii="宋体" w:hAnsi="宋体" w:cs="宋体"/>
          <w:i/>
          <w:kern w:val="0"/>
          <w:szCs w:val="21"/>
          <w:highlight w:val="none"/>
          <w:u w:val="single"/>
          <w:lang w:eastAsia="zh-CN"/>
        </w:rPr>
        <w:t>月至202</w:t>
      </w:r>
      <w:r>
        <w:rPr>
          <w:rFonts w:hint="eastAsia" w:ascii="宋体" w:hAnsi="宋体" w:cs="宋体"/>
          <w:i/>
          <w:kern w:val="0"/>
          <w:szCs w:val="21"/>
          <w:highlight w:val="none"/>
          <w:u w:val="single"/>
          <w:lang w:val="en-US" w:eastAsia="zh-CN"/>
        </w:rPr>
        <w:t>5</w:t>
      </w:r>
      <w:r>
        <w:rPr>
          <w:rFonts w:hint="eastAsia" w:ascii="宋体" w:hAnsi="宋体" w:cs="宋体"/>
          <w:i/>
          <w:kern w:val="0"/>
          <w:szCs w:val="21"/>
          <w:highlight w:val="none"/>
          <w:u w:val="single"/>
          <w:lang w:eastAsia="zh-CN"/>
        </w:rPr>
        <w:t>年</w:t>
      </w:r>
      <w:r>
        <w:rPr>
          <w:rFonts w:hint="eastAsia" w:ascii="宋体" w:hAnsi="宋体" w:cs="宋体"/>
          <w:i/>
          <w:kern w:val="0"/>
          <w:szCs w:val="21"/>
          <w:highlight w:val="none"/>
          <w:u w:val="single"/>
          <w:lang w:val="en-US" w:eastAsia="zh-CN"/>
        </w:rPr>
        <w:t>5</w:t>
      </w:r>
      <w:r>
        <w:rPr>
          <w:rFonts w:hint="eastAsia" w:ascii="宋体" w:hAnsi="宋体" w:cs="宋体"/>
          <w:i/>
          <w:kern w:val="0"/>
          <w:szCs w:val="21"/>
          <w:highlight w:val="none"/>
          <w:u w:val="single"/>
          <w:lang w:eastAsia="zh-CN"/>
        </w:rPr>
        <w:t>月</w:t>
      </w:r>
      <w:r>
        <w:rPr>
          <w:rFonts w:hint="eastAsia" w:ascii="宋体" w:hAnsi="宋体" w:cs="Arial"/>
          <w:bCs/>
          <w:i/>
          <w:iCs/>
          <w:szCs w:val="21"/>
          <w:highlight w:val="none"/>
          <w:u w:val="single"/>
        </w:rPr>
        <w:t>任意一个月的社保证明</w:t>
      </w:r>
      <w:r>
        <w:rPr>
          <w:rFonts w:hint="eastAsia" w:ascii="宋体" w:hAnsi="宋体" w:cs="Arial"/>
          <w:b/>
          <w:bCs/>
          <w:i/>
          <w:iCs/>
          <w:szCs w:val="21"/>
          <w:highlight w:val="none"/>
          <w:u w:val="single"/>
        </w:rPr>
        <w:t>(复印件加盖供应商公章)</w:t>
      </w:r>
    </w:p>
    <w:p w14:paraId="6C28191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注：磋商响应文件的正本和副本中均须提供资格证明文件的复印件。磋商响应文件中所有要求提供资格证明文件原件的，请单独封装，并在封袋上注明“资格证明文件原件”和响应文件一同递交。资格证明文件须清晰可辨，若有缺失或不清晰，将导致投标被拒绝且不允许在开标后补正。</w:t>
      </w:r>
    </w:p>
    <w:p w14:paraId="4AB753DD">
      <w:pPr>
        <w:spacing w:line="360" w:lineRule="auto"/>
        <w:ind w:firstLine="420" w:firstLineChars="200"/>
        <w:rPr>
          <w:rFonts w:hint="eastAsia" w:ascii="宋体" w:hAnsi="宋体" w:cs="宋体"/>
          <w:color w:val="000000"/>
        </w:rPr>
      </w:pPr>
      <w:r>
        <w:rPr>
          <w:rFonts w:hint="eastAsia" w:ascii="宋体" w:hAnsi="宋体" w:cs="宋体"/>
          <w:color w:val="000000"/>
        </w:rPr>
        <w:t>4、拒绝下述供应商参加本次采购活动：</w:t>
      </w:r>
    </w:p>
    <w:p w14:paraId="79AC35E3">
      <w:pPr>
        <w:spacing w:line="360" w:lineRule="auto"/>
        <w:ind w:firstLine="420" w:firstLineChars="200"/>
        <w:rPr>
          <w:rFonts w:hint="eastAsia" w:ascii="宋体" w:hAnsi="宋体" w:cs="宋体"/>
          <w:color w:val="000000"/>
        </w:rPr>
      </w:pPr>
      <w:r>
        <w:rPr>
          <w:rFonts w:hint="eastAsia" w:ascii="宋体" w:hAnsi="宋体" w:cs="宋体"/>
          <w:color w:val="000000"/>
        </w:rPr>
        <w:t>（1）供应商单位负责人为同一人或者存在直接控股、管理关系的不同供应商，不得参加同一合同项下的采购活动。</w:t>
      </w:r>
    </w:p>
    <w:p w14:paraId="5EEA76A5">
      <w:pPr>
        <w:spacing w:line="360" w:lineRule="auto"/>
        <w:ind w:firstLine="420" w:firstLineChars="200"/>
        <w:outlineLvl w:val="0"/>
        <w:rPr>
          <w:rFonts w:hint="eastAsia" w:ascii="宋体" w:hAnsi="宋体" w:cs="宋体"/>
          <w:color w:val="000000"/>
          <w:szCs w:val="21"/>
        </w:rPr>
      </w:pPr>
      <w:r>
        <w:rPr>
          <w:rFonts w:hint="eastAsia" w:ascii="宋体" w:hAnsi="宋体" w:cs="宋体"/>
          <w:color w:val="000000"/>
          <w:szCs w:val="21"/>
        </w:rPr>
        <w:t>（2）凡为采购项目提供整体设计、规范编制或者项目管理、监理、检测等服务的供应商，不得再参加该项目的其他采购活动。</w:t>
      </w:r>
    </w:p>
    <w:p w14:paraId="7BA2ECA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（3）供应商被“信用中国”网站（www.creditchina.gov.cn）、“中国政府采购网"(www.ccgp.gov.cn)列入失信被执行人、重大税收违法案件当事人名单、采购严重违法失信行为记录名单。</w:t>
      </w:r>
    </w:p>
    <w:p w14:paraId="45847D1F">
      <w:pPr>
        <w:tabs>
          <w:tab w:val="left" w:pos="900"/>
        </w:tabs>
        <w:spacing w:line="360" w:lineRule="auto"/>
        <w:rPr>
          <w:rFonts w:hint="eastAsia" w:ascii="宋体" w:hAnsi="宋体" w:cs="宋体"/>
          <w:b/>
          <w:bCs/>
          <w:color w:val="000000"/>
          <w:szCs w:val="21"/>
          <w:highlight w:val="none"/>
        </w:rPr>
      </w:pPr>
      <w:bookmarkStart w:id="8" w:name="_Toc35393800"/>
      <w:bookmarkStart w:id="9" w:name="_Toc35393631"/>
      <w:r>
        <w:rPr>
          <w:rFonts w:hint="eastAsia" w:ascii="宋体" w:hAnsi="宋体" w:cs="宋体"/>
          <w:b/>
          <w:bCs/>
          <w:color w:val="000000"/>
          <w:szCs w:val="21"/>
        </w:rPr>
        <w:t>三、获取竞争性磋商</w:t>
      </w:r>
      <w:r>
        <w:rPr>
          <w:rFonts w:hint="eastAsia" w:ascii="宋体" w:hAnsi="宋体" w:cs="宋体"/>
          <w:b/>
          <w:bCs/>
          <w:color w:val="000000"/>
          <w:szCs w:val="21"/>
          <w:highlight w:val="none"/>
        </w:rPr>
        <w:t>文件</w:t>
      </w:r>
      <w:bookmarkEnd w:id="8"/>
      <w:bookmarkEnd w:id="9"/>
    </w:p>
    <w:p w14:paraId="1C87EA75">
      <w:pPr>
        <w:spacing w:line="360" w:lineRule="auto"/>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rPr>
        <w:t>1、时间：202</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14</w:t>
      </w:r>
      <w:r>
        <w:rPr>
          <w:rFonts w:hint="eastAsia" w:ascii="宋体" w:hAnsi="宋体" w:cs="宋体"/>
          <w:color w:val="000000"/>
          <w:szCs w:val="21"/>
          <w:highlight w:val="none"/>
        </w:rPr>
        <w:t>日至202</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 xml:space="preserve">日 (北京时间)      </w:t>
      </w:r>
    </w:p>
    <w:p w14:paraId="792DF0CC">
      <w:pPr>
        <w:spacing w:line="360" w:lineRule="auto"/>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rPr>
        <w:t>2、地点：</w:t>
      </w:r>
      <w:r>
        <w:rPr>
          <w:rFonts w:hint="eastAsia" w:ascii="宋体" w:hAnsi="宋体" w:eastAsia="宋体" w:cs="Times New Roman"/>
          <w:color w:val="000000"/>
          <w:szCs w:val="21"/>
          <w:highlight w:val="none"/>
          <w:u w:val="none"/>
          <w:lang w:eastAsia="zh-CN"/>
        </w:rPr>
        <w:t>“扬州市公共资源交易平台邗江分中心国企采购栏目”、“扬州维扬发展投资有限公司网站”</w:t>
      </w:r>
    </w:p>
    <w:p w14:paraId="591A79F6">
      <w:pPr>
        <w:spacing w:line="360" w:lineRule="auto"/>
        <w:ind w:firstLine="420" w:firstLineChars="200"/>
        <w:rPr>
          <w:rFonts w:hint="eastAsia"/>
          <w:color w:val="000000"/>
        </w:rPr>
      </w:pPr>
      <w:r>
        <w:rPr>
          <w:rFonts w:hint="eastAsia" w:ascii="宋体" w:hAnsi="宋体" w:cs="宋体"/>
          <w:color w:val="000000"/>
          <w:szCs w:val="21"/>
          <w:highlight w:val="none"/>
        </w:rPr>
        <w:t>3、方式：</w:t>
      </w:r>
      <w:bookmarkStart w:id="10" w:name="_Toc28359005"/>
      <w:bookmarkStart w:id="11" w:name="_Toc38985266"/>
      <w:r>
        <w:rPr>
          <w:rFonts w:hint="eastAsia" w:ascii="宋体" w:hAnsi="宋体" w:cs="宋体"/>
          <w:color w:val="000000"/>
          <w:szCs w:val="21"/>
          <w:highlight w:val="none"/>
        </w:rPr>
        <w:t>自行免费下载磋商文件。供应商如确定参加磋商，请如实填写《供应商参加磋商确认函》，并加盖供应商公章拍照或扫描发送至邮箱进行登记（电子邮箱：</w:t>
      </w:r>
      <w:r>
        <w:rPr>
          <w:rFonts w:hint="eastAsia" w:ascii="宋体" w:hAnsi="宋体" w:eastAsia="宋体" w:cs="宋体"/>
          <w:color w:val="000000"/>
          <w:szCs w:val="21"/>
          <w:highlight w:val="none"/>
          <w:lang w:val="en-US" w:eastAsia="zh-CN"/>
        </w:rPr>
        <w:t>785419524</w:t>
      </w:r>
      <w:r>
        <w:rPr>
          <w:rFonts w:hint="eastAsia" w:ascii="宋体" w:hAnsi="宋体" w:eastAsia="宋体" w:cs="宋体"/>
          <w:color w:val="000000"/>
          <w:szCs w:val="21"/>
          <w:highlight w:val="none"/>
        </w:rPr>
        <w:t>@qq.com</w:t>
      </w:r>
      <w:r>
        <w:rPr>
          <w:rFonts w:hint="eastAsia" w:ascii="宋体" w:hAnsi="宋体" w:cs="宋体"/>
          <w:color w:val="000000"/>
          <w:szCs w:val="21"/>
          <w:highlight w:val="none"/>
        </w:rPr>
        <w:t>，邮件标题请备注公司全称</w:t>
      </w:r>
      <w:r>
        <w:rPr>
          <w:rFonts w:ascii="宋体" w:hAnsi="宋体" w:cs="宋体"/>
          <w:color w:val="000000"/>
          <w:szCs w:val="21"/>
          <w:highlight w:val="none"/>
        </w:rPr>
        <w:t>+</w:t>
      </w:r>
      <w:r>
        <w:rPr>
          <w:rFonts w:hint="eastAsia" w:ascii="宋体" w:hAnsi="宋体" w:cs="宋体"/>
          <w:color w:val="000000"/>
          <w:szCs w:val="21"/>
          <w:highlight w:val="none"/>
        </w:rPr>
        <w:t>项目名称，联系电话：</w:t>
      </w:r>
      <w:r>
        <w:rPr>
          <w:rFonts w:hint="eastAsia" w:ascii="宋体" w:hAnsi="宋体" w:eastAsia="宋体" w:cs="宋体"/>
          <w:color w:val="000000"/>
          <w:szCs w:val="21"/>
          <w:highlight w:val="none"/>
          <w:lang w:val="en-US" w:eastAsia="zh-CN"/>
        </w:rPr>
        <w:t>0514-80820678</w:t>
      </w:r>
      <w:r>
        <w:rPr>
          <w:rFonts w:hint="eastAsia" w:ascii="宋体" w:hAnsi="宋体" w:cs="宋体"/>
          <w:color w:val="000000"/>
          <w:szCs w:val="21"/>
          <w:highlight w:val="none"/>
        </w:rPr>
        <w:t>），提交确认函截止时间202</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日17:30。同时</w:t>
      </w:r>
      <w:r>
        <w:rPr>
          <w:rFonts w:hint="eastAsia" w:ascii="宋体" w:hAnsi="宋体" w:cs="宋体"/>
          <w:color w:val="000000"/>
          <w:szCs w:val="21"/>
        </w:rPr>
        <w:t>需与采购代理机构经办人确认是否收到《供应商参加磋商确认函》，如供应商未按上述要求去做，将自行承担所产生的风险。</w:t>
      </w:r>
      <w:r>
        <w:rPr>
          <w:rFonts w:hint="eastAsia" w:cs="Arial"/>
          <w:color w:val="000000"/>
          <w:spacing w:val="-6"/>
          <w:szCs w:val="21"/>
        </w:rPr>
        <w:t>未登记（提交确认函）者、超过时限者不得前来投标，内容不全者后果自负。</w:t>
      </w:r>
      <w:r>
        <w:rPr>
          <w:rFonts w:hint="eastAsia" w:ascii="宋体" w:hAnsi="宋体" w:cs="宋体"/>
          <w:color w:val="000000"/>
          <w:szCs w:val="21"/>
        </w:rPr>
        <w:t>有关本次磋商的事项若存在变动或修改，敬请及时关注</w:t>
      </w:r>
      <w:r>
        <w:rPr>
          <w:rFonts w:hint="eastAsia" w:ascii="宋体" w:hAnsi="宋体" w:cs="宋体"/>
          <w:szCs w:val="21"/>
          <w:lang w:eastAsia="zh-CN"/>
        </w:rPr>
        <w:t>“扬州市公共资源交易平台邗江分中心国企采购栏目”、“扬州维扬发展投资有限公司网站”</w:t>
      </w:r>
      <w:r>
        <w:rPr>
          <w:rFonts w:hint="eastAsia" w:ascii="宋体" w:hAnsi="宋体" w:cs="宋体"/>
          <w:color w:val="000000"/>
          <w:szCs w:val="21"/>
        </w:rPr>
        <w:t>发布的信息或更正公告。</w:t>
      </w:r>
    </w:p>
    <w:p w14:paraId="257AD783">
      <w:pPr>
        <w:pStyle w:val="11"/>
        <w:spacing w:before="0" w:after="0" w:line="360" w:lineRule="auto"/>
        <w:jc w:val="left"/>
        <w:rPr>
          <w:rFonts w:ascii="宋体" w:hAnsi="宋体" w:eastAsia="宋体" w:cs="宋体"/>
          <w:color w:val="000000"/>
          <w:sz w:val="21"/>
          <w:szCs w:val="21"/>
          <w:lang w:val="en-US" w:eastAsia="zh-CN"/>
        </w:rPr>
      </w:pPr>
      <w:bookmarkStart w:id="12" w:name="_Toc35393632"/>
      <w:bookmarkStart w:id="13" w:name="_Toc35393801"/>
      <w:bookmarkStart w:id="14" w:name="_Toc28359015"/>
      <w:bookmarkStart w:id="15" w:name="_Toc28359092"/>
      <w:r>
        <w:rPr>
          <w:rFonts w:hint="eastAsia" w:ascii="宋体" w:hAnsi="宋体" w:eastAsia="宋体" w:cs="宋体"/>
          <w:color w:val="000000"/>
          <w:sz w:val="21"/>
          <w:szCs w:val="21"/>
        </w:rPr>
        <w:t>四、提交响应文件</w:t>
      </w:r>
      <w:bookmarkEnd w:id="12"/>
      <w:bookmarkEnd w:id="13"/>
      <w:bookmarkEnd w:id="14"/>
      <w:bookmarkEnd w:id="15"/>
      <w:r>
        <w:rPr>
          <w:rFonts w:hint="eastAsia" w:ascii="宋体" w:hAnsi="宋体" w:eastAsia="宋体" w:cs="宋体"/>
          <w:color w:val="000000"/>
          <w:sz w:val="21"/>
          <w:szCs w:val="21"/>
          <w:lang w:val="en-US" w:eastAsia="zh-CN"/>
        </w:rPr>
        <w:t>截止时间和地点</w:t>
      </w:r>
    </w:p>
    <w:p w14:paraId="12F68C7B">
      <w:pPr>
        <w:spacing w:line="360" w:lineRule="auto"/>
        <w:ind w:firstLine="420" w:firstLineChars="200"/>
        <w:rPr>
          <w:rFonts w:hint="eastAsia" w:ascii="宋体" w:hAnsi="宋体" w:cs="宋体"/>
          <w:iCs/>
          <w:color w:val="000000"/>
          <w:szCs w:val="21"/>
          <w:highlight w:val="none"/>
        </w:rPr>
      </w:pPr>
      <w:r>
        <w:rPr>
          <w:rFonts w:hint="eastAsia" w:ascii="宋体" w:hAnsi="宋体" w:cs="宋体"/>
          <w:color w:val="000000"/>
          <w:szCs w:val="21"/>
        </w:rPr>
        <w:t>1、截止时间</w:t>
      </w:r>
      <w:r>
        <w:rPr>
          <w:rFonts w:hint="eastAsia" w:ascii="宋体" w:hAnsi="宋体" w:cs="宋体"/>
          <w:color w:val="000000"/>
          <w:szCs w:val="21"/>
          <w:highlight w:val="none"/>
        </w:rPr>
        <w:t>：202</w:t>
      </w:r>
      <w:r>
        <w:rPr>
          <w:rFonts w:hint="eastAsia" w:ascii="宋体" w:hAnsi="宋体" w:cs="宋体"/>
          <w:color w:val="000000"/>
          <w:szCs w:val="21"/>
          <w:highlight w:val="none"/>
          <w:lang w:val="en-US" w:eastAsia="zh-CN"/>
        </w:rPr>
        <w:t>5</w:t>
      </w:r>
      <w:r>
        <w:rPr>
          <w:rFonts w:hint="eastAsia" w:ascii="宋体" w:hAnsi="宋体" w:cs="宋体"/>
          <w:bCs/>
          <w:color w:val="000000"/>
          <w:szCs w:val="21"/>
          <w:highlight w:val="none"/>
        </w:rPr>
        <w:t>年</w:t>
      </w:r>
      <w:r>
        <w:rPr>
          <w:rFonts w:hint="eastAsia" w:ascii="宋体" w:hAnsi="宋体" w:cs="宋体"/>
          <w:bCs/>
          <w:color w:val="000000"/>
          <w:szCs w:val="21"/>
          <w:highlight w:val="none"/>
          <w:lang w:val="en-US" w:eastAsia="zh-CN"/>
        </w:rPr>
        <w:t>05</w:t>
      </w:r>
      <w:r>
        <w:rPr>
          <w:rFonts w:hint="eastAsia" w:ascii="宋体" w:hAnsi="宋体" w:cs="宋体"/>
          <w:bCs/>
          <w:color w:val="000000"/>
          <w:szCs w:val="21"/>
          <w:highlight w:val="none"/>
        </w:rPr>
        <w:t>月</w:t>
      </w:r>
      <w:r>
        <w:rPr>
          <w:rFonts w:hint="eastAsia" w:ascii="宋体" w:hAnsi="宋体" w:cs="宋体"/>
          <w:bCs/>
          <w:color w:val="000000"/>
          <w:szCs w:val="21"/>
          <w:highlight w:val="none"/>
          <w:lang w:val="en-US" w:eastAsia="zh-CN"/>
        </w:rPr>
        <w:t>27</w:t>
      </w:r>
      <w:r>
        <w:rPr>
          <w:rFonts w:hint="eastAsia" w:ascii="宋体" w:hAnsi="宋体" w:cs="宋体"/>
          <w:bCs/>
          <w:color w:val="000000"/>
          <w:szCs w:val="21"/>
          <w:highlight w:val="none"/>
        </w:rPr>
        <w:t>日</w:t>
      </w:r>
      <w:r>
        <w:rPr>
          <w:rFonts w:hint="eastAsia" w:ascii="宋体" w:hAnsi="宋体" w:cs="宋体"/>
          <w:bCs/>
          <w:color w:val="000000"/>
          <w:szCs w:val="21"/>
          <w:highlight w:val="none"/>
          <w:lang w:val="en-US" w:eastAsia="zh-CN"/>
        </w:rPr>
        <w:t>14</w:t>
      </w:r>
      <w:r>
        <w:rPr>
          <w:rFonts w:hint="eastAsia" w:ascii="宋体" w:hAnsi="宋体" w:cs="宋体"/>
          <w:bCs/>
          <w:color w:val="000000"/>
          <w:szCs w:val="21"/>
          <w:highlight w:val="none"/>
        </w:rPr>
        <w:t>点</w:t>
      </w:r>
      <w:r>
        <w:rPr>
          <w:rFonts w:hint="eastAsia" w:ascii="宋体" w:hAnsi="宋体" w:cs="宋体"/>
          <w:bCs/>
          <w:color w:val="000000"/>
          <w:szCs w:val="21"/>
          <w:highlight w:val="none"/>
          <w:lang w:val="en-US" w:eastAsia="zh-CN"/>
        </w:rPr>
        <w:t>3</w:t>
      </w:r>
      <w:r>
        <w:rPr>
          <w:rFonts w:hint="eastAsia" w:ascii="宋体" w:hAnsi="宋体" w:cs="宋体"/>
          <w:bCs/>
          <w:color w:val="000000"/>
          <w:szCs w:val="21"/>
          <w:highlight w:val="none"/>
        </w:rPr>
        <w:t>0分（北京时间）</w:t>
      </w:r>
    </w:p>
    <w:p w14:paraId="4D5B1044">
      <w:pPr>
        <w:spacing w:line="360" w:lineRule="auto"/>
        <w:ind w:firstLine="420" w:firstLineChars="200"/>
        <w:rPr>
          <w:rFonts w:hint="eastAsia" w:ascii="宋体" w:hAnsi="宋体" w:cs="宋体"/>
          <w:bCs/>
          <w:color w:val="000000"/>
          <w:szCs w:val="21"/>
        </w:rPr>
      </w:pPr>
      <w:r>
        <w:rPr>
          <w:rFonts w:hint="eastAsia" w:ascii="宋体" w:hAnsi="宋体" w:cs="宋体"/>
          <w:color w:val="000000"/>
          <w:szCs w:val="21"/>
          <w:highlight w:val="none"/>
        </w:rPr>
        <w:t>2、提交地点：</w:t>
      </w:r>
      <w:r>
        <w:rPr>
          <w:rFonts w:hint="eastAsia" w:ascii="宋体" w:hAnsi="宋体" w:cs="宋体"/>
          <w:color w:val="000000"/>
          <w:szCs w:val="21"/>
          <w:highlight w:val="none"/>
          <w:lang w:val="en-US" w:eastAsia="zh-CN"/>
        </w:rPr>
        <w:t>江</w:t>
      </w:r>
      <w:r>
        <w:rPr>
          <w:rFonts w:hint="eastAsia" w:ascii="宋体" w:hAnsi="宋体" w:cs="宋体"/>
          <w:szCs w:val="21"/>
          <w:highlight w:val="none"/>
        </w:rPr>
        <w:t>苏志诚工程咨询管理有限公司三楼开标室（扬州市</w:t>
      </w:r>
      <w:r>
        <w:rPr>
          <w:rFonts w:hint="eastAsia" w:ascii="宋体" w:hAnsi="宋体" w:cs="宋体"/>
          <w:szCs w:val="21"/>
        </w:rPr>
        <w:t>文昌西路305号金都汇商务楼3楼）</w:t>
      </w:r>
    </w:p>
    <w:p w14:paraId="586B8B8F">
      <w:pPr>
        <w:pStyle w:val="11"/>
        <w:spacing w:before="0" w:after="0" w:line="360" w:lineRule="auto"/>
        <w:jc w:val="left"/>
        <w:rPr>
          <w:rFonts w:ascii="宋体" w:hAnsi="宋体" w:eastAsia="宋体" w:cs="宋体"/>
          <w:color w:val="000000"/>
          <w:sz w:val="21"/>
          <w:szCs w:val="21"/>
          <w:lang w:val="en-US" w:eastAsia="zh-CN"/>
        </w:rPr>
      </w:pPr>
      <w:bookmarkStart w:id="16" w:name="_Toc35393633"/>
      <w:bookmarkStart w:id="17" w:name="_Toc28359093"/>
      <w:bookmarkStart w:id="18" w:name="_Toc35393802"/>
      <w:bookmarkStart w:id="19" w:name="_Toc28359016"/>
      <w:r>
        <w:rPr>
          <w:rFonts w:hint="eastAsia" w:ascii="宋体" w:hAnsi="宋体" w:eastAsia="宋体" w:cs="宋体"/>
          <w:color w:val="000000"/>
          <w:sz w:val="21"/>
          <w:szCs w:val="21"/>
        </w:rPr>
        <w:t>五、</w:t>
      </w:r>
      <w:r>
        <w:rPr>
          <w:rFonts w:hint="eastAsia" w:ascii="宋体" w:hAnsi="宋体" w:eastAsia="宋体" w:cs="宋体"/>
          <w:color w:val="000000"/>
          <w:sz w:val="21"/>
          <w:szCs w:val="21"/>
          <w:lang w:val="en-US" w:eastAsia="zh-CN"/>
        </w:rPr>
        <w:t>响应文件</w:t>
      </w:r>
      <w:r>
        <w:rPr>
          <w:rFonts w:hint="eastAsia" w:ascii="宋体" w:hAnsi="宋体" w:eastAsia="宋体" w:cs="宋体"/>
          <w:color w:val="000000"/>
          <w:sz w:val="21"/>
          <w:szCs w:val="21"/>
        </w:rPr>
        <w:t>开启</w:t>
      </w:r>
      <w:bookmarkEnd w:id="16"/>
      <w:bookmarkEnd w:id="17"/>
      <w:bookmarkEnd w:id="18"/>
      <w:bookmarkEnd w:id="19"/>
      <w:r>
        <w:rPr>
          <w:rFonts w:hint="eastAsia" w:ascii="宋体" w:hAnsi="宋体" w:eastAsia="宋体" w:cs="宋体"/>
          <w:color w:val="000000"/>
          <w:sz w:val="21"/>
          <w:szCs w:val="21"/>
          <w:lang w:val="en-US" w:eastAsia="zh-CN"/>
        </w:rPr>
        <w:t>时间和地点</w:t>
      </w:r>
    </w:p>
    <w:p w14:paraId="07CBB8F4">
      <w:pPr>
        <w:spacing w:line="360" w:lineRule="auto"/>
        <w:ind w:firstLine="420" w:firstLineChars="200"/>
        <w:rPr>
          <w:rFonts w:hint="eastAsia" w:ascii="宋体" w:hAnsi="宋体" w:cs="宋体"/>
          <w:bCs/>
          <w:color w:val="000000"/>
          <w:szCs w:val="21"/>
        </w:rPr>
      </w:pPr>
      <w:r>
        <w:rPr>
          <w:rFonts w:hint="eastAsia" w:ascii="宋体" w:hAnsi="宋体" w:cs="宋体"/>
          <w:color w:val="000000"/>
          <w:szCs w:val="21"/>
        </w:rPr>
        <w:t>1、开启时间：2025年05月27日14点30分</w:t>
      </w:r>
      <w:r>
        <w:rPr>
          <w:rFonts w:hint="eastAsia" w:ascii="宋体" w:hAnsi="宋体" w:cs="宋体"/>
          <w:bCs/>
          <w:color w:val="000000"/>
          <w:szCs w:val="21"/>
        </w:rPr>
        <w:t>（北京时间）</w:t>
      </w:r>
    </w:p>
    <w:p w14:paraId="234A025A">
      <w:pPr>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2、开启地点：</w:t>
      </w:r>
      <w:r>
        <w:rPr>
          <w:rFonts w:hint="eastAsia" w:ascii="宋体" w:hAnsi="宋体" w:cs="宋体"/>
          <w:szCs w:val="21"/>
        </w:rPr>
        <w:t>江苏志诚工程咨询管理有限公司三楼开标室（扬州市文昌西路305号金都汇商务楼3楼）</w:t>
      </w:r>
    </w:p>
    <w:p w14:paraId="6CDFEA1F">
      <w:pPr>
        <w:pStyle w:val="11"/>
        <w:spacing w:before="0" w:after="0" w:line="360" w:lineRule="auto"/>
        <w:jc w:val="left"/>
        <w:rPr>
          <w:rFonts w:hint="eastAsia" w:ascii="宋体" w:hAnsi="宋体" w:eastAsia="宋体" w:cs="宋体"/>
          <w:color w:val="000000"/>
          <w:sz w:val="21"/>
          <w:szCs w:val="21"/>
        </w:rPr>
      </w:pPr>
      <w:bookmarkStart w:id="20" w:name="_Toc35393803"/>
      <w:bookmarkStart w:id="21" w:name="_Toc28359094"/>
      <w:bookmarkStart w:id="22" w:name="_Toc28359017"/>
      <w:bookmarkStart w:id="23" w:name="_Toc35393634"/>
      <w:r>
        <w:rPr>
          <w:rFonts w:hint="eastAsia" w:ascii="宋体" w:hAnsi="宋体" w:eastAsia="宋体" w:cs="宋体"/>
          <w:color w:val="000000"/>
          <w:sz w:val="21"/>
          <w:szCs w:val="21"/>
        </w:rPr>
        <w:t>六、公告期限</w:t>
      </w:r>
      <w:bookmarkEnd w:id="20"/>
      <w:bookmarkEnd w:id="21"/>
      <w:bookmarkEnd w:id="22"/>
      <w:bookmarkEnd w:id="23"/>
    </w:p>
    <w:p w14:paraId="4A2B8FB5">
      <w:pPr>
        <w:spacing w:line="360" w:lineRule="auto"/>
        <w:ind w:firstLine="420" w:firstLineChars="200"/>
        <w:rPr>
          <w:rFonts w:hint="eastAsia" w:ascii="宋体" w:hAnsi="宋体" w:cs="宋体"/>
          <w:color w:val="000000"/>
          <w:szCs w:val="21"/>
          <w:u w:val="single"/>
        </w:rPr>
      </w:pPr>
      <w:r>
        <w:rPr>
          <w:rFonts w:hint="eastAsia" w:ascii="宋体" w:hAnsi="宋体" w:cs="宋体"/>
          <w:color w:val="000000"/>
          <w:kern w:val="0"/>
          <w:szCs w:val="21"/>
        </w:rPr>
        <w:t>自本竞争性磋商公告发布之日起5个工作日。</w:t>
      </w:r>
    </w:p>
    <w:p w14:paraId="106CF934">
      <w:pPr>
        <w:pStyle w:val="11"/>
        <w:spacing w:before="0" w:after="0" w:line="360" w:lineRule="auto"/>
        <w:jc w:val="left"/>
        <w:rPr>
          <w:rFonts w:hint="eastAsia" w:ascii="宋体" w:hAnsi="宋体" w:cs="宋体"/>
          <w:color w:val="000000"/>
          <w:kern w:val="0"/>
          <w:szCs w:val="21"/>
        </w:rPr>
      </w:pPr>
      <w:bookmarkStart w:id="24" w:name="_Toc35393804"/>
      <w:bookmarkStart w:id="25" w:name="_Toc35393635"/>
      <w:r>
        <w:rPr>
          <w:rFonts w:hint="eastAsia" w:ascii="宋体" w:hAnsi="宋体" w:eastAsia="宋体" w:cs="宋体"/>
          <w:color w:val="000000"/>
          <w:sz w:val="21"/>
          <w:szCs w:val="21"/>
        </w:rPr>
        <w:t>七、其他补充事宜</w:t>
      </w:r>
      <w:bookmarkEnd w:id="10"/>
      <w:bookmarkEnd w:id="11"/>
      <w:bookmarkEnd w:id="24"/>
      <w:bookmarkEnd w:id="25"/>
    </w:p>
    <w:p w14:paraId="639D5CCF">
      <w:pPr>
        <w:widowControl/>
        <w:spacing w:line="360" w:lineRule="auto"/>
        <w:ind w:firstLine="420"/>
        <w:jc w:val="left"/>
        <w:rPr>
          <w:rFonts w:hint="eastAsia" w:ascii="宋体" w:hAnsi="宋体" w:cs="宋体"/>
          <w:color w:val="000000"/>
        </w:rPr>
      </w:pPr>
      <w:r>
        <w:rPr>
          <w:rFonts w:hint="eastAsia" w:ascii="宋体" w:hAnsi="宋体" w:cs="宋体"/>
          <w:bCs/>
          <w:color w:val="000000"/>
          <w:szCs w:val="21"/>
        </w:rPr>
        <w:t>1、</w:t>
      </w:r>
      <w:r>
        <w:rPr>
          <w:rFonts w:hint="eastAsia" w:ascii="宋体" w:hAnsi="宋体" w:cs="宋体"/>
          <w:color w:val="000000"/>
          <w:szCs w:val="21"/>
        </w:rPr>
        <w:t>集中考察或召开答疑会：无</w:t>
      </w:r>
    </w:p>
    <w:p w14:paraId="6DA637B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2、本次响应文件制作份数要求：纸质版一式三份(一份正本，两份副本) ，每份响应文件须清楚标明“正本”或“副本”字样，一旦副本与正本不符，以正本为准。电子版响应文件一份(一般应为pdf格式，U盘形式</w:t>
      </w:r>
      <w:r>
        <w:rPr>
          <w:rFonts w:hint="eastAsia" w:ascii="宋体" w:hAnsi="宋体" w:cs="宋体"/>
          <w:b/>
          <w:bCs/>
          <w:color w:val="000000"/>
          <w:szCs w:val="21"/>
        </w:rPr>
        <w:t>（单独密封）</w:t>
      </w:r>
      <w:r>
        <w:rPr>
          <w:rFonts w:hint="eastAsia" w:ascii="宋体" w:hAnsi="宋体" w:cs="宋体"/>
          <w:color w:val="000000"/>
          <w:szCs w:val="21"/>
        </w:rPr>
        <w:t>、随纸质响应文件文件一并提交)。当电子版响应文件和纸质正本响应文件不一致时，以纸质正本响应文件为准。电子版文件用于辅助评标和存档，供应商需承担前述不一致造成的不利后果。</w:t>
      </w:r>
    </w:p>
    <w:p w14:paraId="10B963A0">
      <w:pPr>
        <w:spacing w:line="360" w:lineRule="auto"/>
        <w:ind w:firstLine="525" w:firstLineChars="250"/>
        <w:rPr>
          <w:rFonts w:hint="eastAsia" w:ascii="宋体" w:hAnsi="宋体" w:cs="宋体"/>
          <w:color w:val="000000"/>
          <w:szCs w:val="21"/>
        </w:rPr>
      </w:pPr>
      <w:bookmarkStart w:id="26" w:name="_Toc28359085"/>
      <w:bookmarkEnd w:id="26"/>
      <w:bookmarkStart w:id="27" w:name="_Toc35393627"/>
      <w:bookmarkEnd w:id="27"/>
      <w:bookmarkStart w:id="28" w:name="_Toc35393796"/>
      <w:bookmarkEnd w:id="28"/>
      <w:r>
        <w:rPr>
          <w:rFonts w:hint="eastAsia" w:ascii="宋体" w:hAnsi="宋体" w:cs="宋体"/>
          <w:color w:val="000000"/>
          <w:szCs w:val="21"/>
        </w:rPr>
        <w:t>3、本项目免收磋商保证金</w:t>
      </w:r>
    </w:p>
    <w:p w14:paraId="429BCBB2">
      <w:pPr>
        <w:spacing w:line="360" w:lineRule="auto"/>
        <w:ind w:left="1" w:firstLine="525" w:firstLineChars="250"/>
        <w:rPr>
          <w:rFonts w:hint="eastAsia" w:ascii="宋体" w:hAnsi="宋体" w:cs="宋体"/>
          <w:color w:val="000000"/>
        </w:rPr>
      </w:pPr>
      <w:r>
        <w:rPr>
          <w:rFonts w:hint="eastAsia" w:ascii="宋体" w:hAnsi="宋体" w:cs="宋体"/>
          <w:color w:val="000000"/>
          <w:szCs w:val="21"/>
        </w:rPr>
        <w:t>4、</w:t>
      </w:r>
      <w:r>
        <w:rPr>
          <w:rFonts w:hint="eastAsia" w:ascii="宋体" w:hAnsi="宋体" w:cs="宋体"/>
          <w:i/>
          <w:color w:val="000000"/>
          <w:szCs w:val="21"/>
          <w:u w:val="single"/>
        </w:rPr>
        <w:t>本磋商文件中斜体下划线部分为实质性响应条件，为必须遵守的条件，如不满足将作无效响应文件处理。</w:t>
      </w:r>
    </w:p>
    <w:p w14:paraId="354CDA7E">
      <w:pPr>
        <w:pStyle w:val="11"/>
        <w:spacing w:before="0" w:after="0" w:line="360" w:lineRule="auto"/>
        <w:jc w:val="left"/>
        <w:rPr>
          <w:rFonts w:hint="eastAsia" w:ascii="宋体" w:hAnsi="宋体" w:eastAsia="宋体" w:cs="宋体"/>
          <w:color w:val="000000"/>
          <w:sz w:val="21"/>
          <w:szCs w:val="21"/>
        </w:rPr>
      </w:pPr>
      <w:bookmarkStart w:id="29" w:name="_Toc35393636"/>
      <w:bookmarkStart w:id="30" w:name="_Toc28359018"/>
      <w:bookmarkStart w:id="31" w:name="_Toc28359095"/>
      <w:bookmarkStart w:id="32" w:name="_Toc35393805"/>
      <w:r>
        <w:rPr>
          <w:rFonts w:hint="eastAsia" w:ascii="宋体" w:hAnsi="宋体" w:eastAsia="宋体" w:cs="宋体"/>
          <w:color w:val="000000"/>
          <w:sz w:val="21"/>
          <w:szCs w:val="21"/>
        </w:rPr>
        <w:t>八、凡对本次采购提出询问，请按以下方式联系</w:t>
      </w:r>
      <w:bookmarkEnd w:id="29"/>
      <w:bookmarkEnd w:id="30"/>
      <w:bookmarkEnd w:id="31"/>
      <w:bookmarkEnd w:id="32"/>
    </w:p>
    <w:p w14:paraId="3943EEE7">
      <w:pPr>
        <w:pStyle w:val="11"/>
        <w:spacing w:before="0" w:after="0" w:line="360" w:lineRule="auto"/>
        <w:ind w:firstLine="630" w:firstLineChars="300"/>
        <w:jc w:val="left"/>
        <w:rPr>
          <w:rFonts w:hint="eastAsia" w:ascii="宋体" w:hAnsi="宋体" w:eastAsia="宋体" w:cs="宋体"/>
          <w:b w:val="0"/>
          <w:color w:val="000000"/>
          <w:sz w:val="21"/>
          <w:szCs w:val="21"/>
        </w:rPr>
      </w:pPr>
      <w:bookmarkStart w:id="33" w:name="_Toc35393806"/>
      <w:bookmarkStart w:id="34" w:name="_Toc28359019"/>
      <w:bookmarkStart w:id="35" w:name="_Toc28359096"/>
      <w:bookmarkStart w:id="36" w:name="_Toc35393637"/>
      <w:r>
        <w:rPr>
          <w:rFonts w:hint="eastAsia" w:ascii="宋体" w:hAnsi="宋体" w:eastAsia="宋体" w:cs="宋体"/>
          <w:b w:val="0"/>
          <w:color w:val="000000"/>
          <w:sz w:val="21"/>
          <w:szCs w:val="21"/>
        </w:rPr>
        <w:t>1、采购人信息</w:t>
      </w:r>
      <w:bookmarkEnd w:id="33"/>
      <w:bookmarkEnd w:id="34"/>
      <w:bookmarkEnd w:id="35"/>
      <w:bookmarkEnd w:id="36"/>
    </w:p>
    <w:p w14:paraId="41E674B8">
      <w:pPr>
        <w:spacing w:line="360" w:lineRule="auto"/>
        <w:ind w:firstLine="840" w:firstLineChars="400"/>
        <w:rPr>
          <w:rFonts w:hint="eastAsia" w:ascii="宋体" w:hAnsi="宋体" w:cs="宋体"/>
          <w:color w:val="000000"/>
          <w:szCs w:val="21"/>
          <w:u w:val="single"/>
        </w:rPr>
      </w:pPr>
      <w:r>
        <w:rPr>
          <w:rFonts w:hint="eastAsia" w:ascii="宋体" w:hAnsi="宋体" w:cs="宋体"/>
          <w:color w:val="000000"/>
          <w:szCs w:val="21"/>
        </w:rPr>
        <w:t>名    称：</w:t>
      </w:r>
      <w:r>
        <w:rPr>
          <w:rFonts w:hint="eastAsia" w:ascii="宋体" w:hAnsi="宋体" w:eastAsia="宋体" w:cs="宋体"/>
          <w:lang w:eastAsia="zh-CN"/>
        </w:rPr>
        <w:t>扬州维投经营管理有限公司</w:t>
      </w:r>
    </w:p>
    <w:p w14:paraId="127AA3D0">
      <w:pPr>
        <w:pStyle w:val="11"/>
        <w:spacing w:before="0" w:after="0" w:line="360" w:lineRule="auto"/>
        <w:ind w:firstLine="630" w:firstLineChars="300"/>
        <w:jc w:val="both"/>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2、采购代理机构信息</w:t>
      </w:r>
    </w:p>
    <w:p w14:paraId="09771F1A">
      <w:pPr>
        <w:spacing w:line="360" w:lineRule="auto"/>
        <w:ind w:firstLine="840" w:firstLineChars="400"/>
        <w:rPr>
          <w:rFonts w:ascii="宋体" w:hAnsi="宋体" w:cs="宋体"/>
          <w:color w:val="000000"/>
          <w:szCs w:val="21"/>
        </w:rPr>
      </w:pPr>
      <w:r>
        <w:rPr>
          <w:rFonts w:hint="eastAsia" w:ascii="宋体" w:hAnsi="宋体" w:cs="宋体"/>
          <w:color w:val="000000"/>
          <w:szCs w:val="21"/>
        </w:rPr>
        <w:t>名    称：</w:t>
      </w:r>
      <w:r>
        <w:rPr>
          <w:rFonts w:hint="eastAsia" w:ascii="宋体" w:hAnsi="宋体" w:cs="宋体"/>
          <w:color w:val="000000"/>
          <w:spacing w:val="-6"/>
          <w:szCs w:val="21"/>
        </w:rPr>
        <w:t>江苏</w:t>
      </w:r>
      <w:r>
        <w:rPr>
          <w:rFonts w:hint="eastAsia" w:ascii="宋体" w:hAnsi="宋体" w:cs="宋体"/>
          <w:color w:val="000000"/>
          <w:spacing w:val="-6"/>
          <w:szCs w:val="21"/>
          <w:lang w:val="en-US" w:eastAsia="zh-CN"/>
        </w:rPr>
        <w:t>志诚工程</w:t>
      </w:r>
      <w:r>
        <w:rPr>
          <w:rFonts w:hint="eastAsia" w:ascii="宋体" w:hAnsi="宋体" w:cs="宋体"/>
          <w:color w:val="000000"/>
          <w:spacing w:val="-6"/>
          <w:szCs w:val="21"/>
        </w:rPr>
        <w:t>咨询管理有限公司</w:t>
      </w:r>
      <w:r>
        <w:rPr>
          <w:rFonts w:hint="eastAsia" w:ascii="宋体" w:hAnsi="宋体" w:cs="宋体"/>
          <w:color w:val="000000"/>
          <w:szCs w:val="21"/>
        </w:rPr>
        <w:t xml:space="preserve"> </w:t>
      </w:r>
    </w:p>
    <w:p w14:paraId="23DEABE6">
      <w:pPr>
        <w:spacing w:line="360" w:lineRule="auto"/>
        <w:ind w:firstLine="840" w:firstLineChars="4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szCs w:val="21"/>
          <w:u w:val="none"/>
        </w:rPr>
        <w:t xml:space="preserve">扬州市文昌西路305号金都汇商务楼3楼 </w:t>
      </w:r>
    </w:p>
    <w:p w14:paraId="4EB8C36B">
      <w:pPr>
        <w:spacing w:line="360" w:lineRule="auto"/>
        <w:ind w:firstLine="840" w:firstLineChars="400"/>
        <w:rPr>
          <w:rFonts w:ascii="宋体" w:hAnsi="宋体" w:eastAsia="宋体" w:cs="宋体"/>
          <w:color w:val="000000"/>
          <w:szCs w:val="21"/>
          <w:lang w:val="en-US" w:eastAsia="zh-CN"/>
        </w:rPr>
      </w:pPr>
      <w:r>
        <w:rPr>
          <w:rFonts w:hint="eastAsia" w:ascii="宋体" w:hAnsi="宋体" w:cs="宋体"/>
          <w:color w:val="000000"/>
          <w:szCs w:val="21"/>
        </w:rPr>
        <w:t>联 系 人：</w:t>
      </w:r>
      <w:r>
        <w:rPr>
          <w:rFonts w:hint="eastAsia" w:ascii="宋体" w:hAnsi="宋体" w:cs="宋体"/>
          <w:color w:val="000000"/>
          <w:szCs w:val="21"/>
          <w:lang w:val="en-US" w:eastAsia="zh-CN"/>
        </w:rPr>
        <w:t>耿帆</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联系电话：</w:t>
      </w:r>
      <w:r>
        <w:rPr>
          <w:rFonts w:hint="eastAsia" w:ascii="宋体" w:hAnsi="宋体" w:eastAsia="宋体" w:cs="宋体"/>
          <w:color w:val="000000"/>
          <w:szCs w:val="21"/>
          <w:lang w:val="en-US" w:eastAsia="zh-CN"/>
        </w:rPr>
        <w:t>0514-80820678</w:t>
      </w:r>
    </w:p>
    <w:p w14:paraId="4252F4F0">
      <w:pPr>
        <w:spacing w:line="360" w:lineRule="auto"/>
        <w:rPr>
          <w:rFonts w:hint="eastAsia" w:ascii="宋体" w:hAnsi="宋体" w:eastAsia="宋体" w:cs="宋体"/>
        </w:rPr>
      </w:pPr>
    </w:p>
    <w:bookmarkEnd w:id="0"/>
    <w:bookmarkEnd w:id="1"/>
    <w:p w14:paraId="77667DC6">
      <w:pPr>
        <w:pStyle w:val="11"/>
        <w:spacing w:before="0" w:after="0" w:line="360" w:lineRule="auto"/>
        <w:jc w:val="both"/>
        <w:rPr>
          <w:rFonts w:hint="eastAsia" w:ascii="宋体" w:hAnsi="宋体" w:eastAsia="宋体" w:cs="宋体"/>
          <w:bCs/>
          <w:sz w:val="36"/>
          <w:szCs w:val="36"/>
        </w:rPr>
      </w:pPr>
      <w:bookmarkStart w:id="37" w:name="_Toc61149549"/>
      <w:bookmarkStart w:id="38" w:name="_Toc513029209"/>
      <w:bookmarkStart w:id="39" w:name="_Toc14577347"/>
    </w:p>
    <w:p w14:paraId="3BF9FCF5">
      <w:pPr>
        <w:pStyle w:val="11"/>
        <w:spacing w:before="0" w:after="0" w:line="360" w:lineRule="auto"/>
        <w:jc w:val="both"/>
        <w:rPr>
          <w:rFonts w:hint="eastAsia" w:ascii="宋体" w:hAnsi="宋体" w:eastAsia="宋体" w:cs="宋体"/>
          <w:bCs/>
          <w:sz w:val="36"/>
          <w:szCs w:val="36"/>
        </w:rPr>
      </w:pPr>
    </w:p>
    <w:p w14:paraId="099030D6">
      <w:pPr>
        <w:pStyle w:val="11"/>
        <w:spacing w:before="0" w:after="0" w:line="360" w:lineRule="auto"/>
        <w:jc w:val="both"/>
        <w:rPr>
          <w:rFonts w:hint="eastAsia" w:ascii="宋体" w:hAnsi="宋体" w:eastAsia="宋体" w:cs="宋体"/>
          <w:bCs/>
          <w:sz w:val="36"/>
          <w:szCs w:val="36"/>
        </w:rPr>
      </w:pPr>
    </w:p>
    <w:p w14:paraId="3ABD06F5">
      <w:pPr>
        <w:pStyle w:val="11"/>
        <w:spacing w:before="0" w:after="0" w:line="360" w:lineRule="auto"/>
        <w:jc w:val="both"/>
        <w:rPr>
          <w:rFonts w:hint="eastAsia" w:ascii="宋体" w:hAnsi="宋体" w:eastAsia="宋体" w:cs="宋体"/>
          <w:bCs/>
          <w:sz w:val="36"/>
          <w:szCs w:val="36"/>
        </w:rPr>
      </w:pPr>
    </w:p>
    <w:p w14:paraId="51F2BF9C">
      <w:pPr>
        <w:spacing w:line="360" w:lineRule="auto"/>
        <w:jc w:val="center"/>
        <w:rPr>
          <w:rFonts w:hint="eastAsia" w:ascii="宋体" w:hAnsi="宋体" w:eastAsia="宋体" w:cs="宋体"/>
          <w:bCs/>
          <w:szCs w:val="21"/>
        </w:rPr>
      </w:pPr>
    </w:p>
    <w:p w14:paraId="7E5061FD">
      <w:pPr>
        <w:spacing w:line="360" w:lineRule="auto"/>
        <w:jc w:val="center"/>
        <w:rPr>
          <w:rFonts w:hint="eastAsia" w:ascii="宋体" w:hAnsi="宋体" w:eastAsia="宋体" w:cs="宋体"/>
          <w:bCs/>
          <w:szCs w:val="21"/>
        </w:rPr>
      </w:pPr>
    </w:p>
    <w:p w14:paraId="14D77F3D">
      <w:pPr>
        <w:spacing w:line="360" w:lineRule="auto"/>
        <w:jc w:val="center"/>
        <w:rPr>
          <w:rFonts w:hint="eastAsia" w:ascii="宋体" w:hAnsi="宋体" w:eastAsia="宋体" w:cs="宋体"/>
          <w:bCs/>
          <w:szCs w:val="21"/>
        </w:rPr>
      </w:pPr>
    </w:p>
    <w:p w14:paraId="401F3B36">
      <w:pPr>
        <w:pStyle w:val="11"/>
        <w:spacing w:before="0" w:after="0" w:line="360" w:lineRule="auto"/>
        <w:jc w:val="center"/>
        <w:rPr>
          <w:rFonts w:hint="eastAsia" w:ascii="宋体" w:hAnsi="宋体" w:eastAsia="宋体" w:cs="宋体"/>
          <w:bCs/>
          <w:szCs w:val="21"/>
        </w:rPr>
      </w:pPr>
      <w:r>
        <w:rPr>
          <w:rFonts w:hint="eastAsia" w:ascii="宋体" w:hAnsi="宋体" w:eastAsia="宋体" w:cs="宋体"/>
          <w:bCs/>
          <w:sz w:val="36"/>
          <w:szCs w:val="36"/>
        </w:rPr>
        <w:t>第二章  磋商须知</w:t>
      </w:r>
    </w:p>
    <w:p w14:paraId="5ED8575C">
      <w:pPr>
        <w:spacing w:line="360" w:lineRule="auto"/>
        <w:jc w:val="center"/>
        <w:rPr>
          <w:rFonts w:hint="eastAsia" w:ascii="宋体" w:hAnsi="宋体" w:eastAsia="宋体" w:cs="宋体"/>
          <w:b/>
          <w:bCs/>
          <w:szCs w:val="21"/>
        </w:rPr>
      </w:pPr>
      <w:r>
        <w:rPr>
          <w:rFonts w:hint="eastAsia" w:ascii="宋体" w:hAnsi="宋体" w:eastAsia="宋体" w:cs="宋体"/>
          <w:bCs/>
          <w:szCs w:val="21"/>
        </w:rPr>
        <w:t>（参加竞争性磋商的供应商以下简称“磋商供应商”）</w:t>
      </w:r>
    </w:p>
    <w:bookmarkEnd w:id="37"/>
    <w:bookmarkEnd w:id="38"/>
    <w:bookmarkEnd w:id="39"/>
    <w:p w14:paraId="71CE2881">
      <w:pPr>
        <w:tabs>
          <w:tab w:val="left" w:pos="900"/>
        </w:tabs>
        <w:spacing w:line="360" w:lineRule="auto"/>
        <w:ind w:firstLine="422" w:firstLineChars="200"/>
        <w:rPr>
          <w:rFonts w:hint="eastAsia" w:ascii="宋体" w:hAnsi="宋体" w:eastAsia="宋体" w:cs="宋体"/>
          <w:b/>
          <w:szCs w:val="21"/>
        </w:rPr>
      </w:pPr>
      <w:bookmarkStart w:id="40" w:name="_Toc20823309"/>
      <w:bookmarkStart w:id="41" w:name="_Toc16938553"/>
      <w:bookmarkStart w:id="42" w:name="_Toc513029237"/>
      <w:r>
        <w:rPr>
          <w:rFonts w:hint="eastAsia" w:ascii="宋体" w:hAnsi="宋体" w:eastAsia="宋体" w:cs="宋体"/>
          <w:b/>
          <w:szCs w:val="21"/>
        </w:rPr>
        <w:t>一、总则</w:t>
      </w:r>
    </w:p>
    <w:p w14:paraId="00AA9C99">
      <w:pPr>
        <w:tabs>
          <w:tab w:val="left" w:pos="9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1、适用范围</w:t>
      </w:r>
    </w:p>
    <w:p w14:paraId="00D3C90C">
      <w:pPr>
        <w:tabs>
          <w:tab w:val="left" w:pos="9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1.1 本竞争性磋商文件（以下简称磋商文件）仅适用此项目。</w:t>
      </w:r>
    </w:p>
    <w:p w14:paraId="00080FA9">
      <w:pPr>
        <w:tabs>
          <w:tab w:val="left" w:pos="9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2、项目采购方式</w:t>
      </w:r>
    </w:p>
    <w:p w14:paraId="2C81536D">
      <w:pPr>
        <w:tabs>
          <w:tab w:val="left" w:pos="9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本次采购采取竞争性磋商的方式。</w:t>
      </w:r>
    </w:p>
    <w:p w14:paraId="578A22FB">
      <w:pPr>
        <w:tabs>
          <w:tab w:val="left" w:pos="9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3、合格的磋商供应商</w:t>
      </w:r>
    </w:p>
    <w:p w14:paraId="57815FF9">
      <w:pPr>
        <w:tabs>
          <w:tab w:val="left" w:pos="9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3.1满足本磋商文件“竞争性磋商采购邀请”中合格磋商供应商资格要求的规定。</w:t>
      </w:r>
    </w:p>
    <w:p w14:paraId="3A8F4745">
      <w:pPr>
        <w:tabs>
          <w:tab w:val="left" w:pos="9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3.2 满足本磋商文件实质性要求和条件的规定。</w:t>
      </w:r>
    </w:p>
    <w:p w14:paraId="676D19E0">
      <w:pPr>
        <w:tabs>
          <w:tab w:val="left" w:pos="9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4、参加磋商费用</w:t>
      </w:r>
    </w:p>
    <w:p w14:paraId="592B3F7B">
      <w:pPr>
        <w:tabs>
          <w:tab w:val="left" w:pos="9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4.1参加磋商供应商应自行承担所有与参加磋商有关的费用。不论最终的成交结果如何，</w:t>
      </w:r>
      <w:r>
        <w:rPr>
          <w:rFonts w:hint="eastAsia" w:ascii="宋体" w:hAnsi="宋体" w:eastAsia="宋体" w:cs="宋体"/>
          <w:szCs w:val="21"/>
          <w:lang w:eastAsia="zh-CN"/>
        </w:rPr>
        <w:t>江苏志诚工程咨询管理有限公司</w:t>
      </w:r>
      <w:r>
        <w:rPr>
          <w:rFonts w:hint="eastAsia" w:ascii="宋体" w:hAnsi="宋体" w:eastAsia="宋体" w:cs="宋体"/>
          <w:szCs w:val="21"/>
        </w:rPr>
        <w:t>（以下简称代理机构）和采购人在任何情况下均无义务和责任承担这些费用。</w:t>
      </w:r>
    </w:p>
    <w:p w14:paraId="5E5BD93F">
      <w:pPr>
        <w:tabs>
          <w:tab w:val="left" w:pos="9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4.2</w:t>
      </w:r>
      <w:r>
        <w:rPr>
          <w:rFonts w:hint="eastAsia" w:ascii="宋体" w:hAnsi="宋体" w:eastAsia="宋体" w:cs="宋体"/>
          <w:kern w:val="1"/>
          <w:szCs w:val="21"/>
        </w:rPr>
        <w:t>本次采购由成交人在领取成交通知书前一次性支付给招标代理机构专家评审费（专家评审费暂按 500 元/人次计取，按实结算（不提供发票）。专家评审费以现金形式支付，专家评审费不在报价中单列，由成交人支付给代理机构。</w:t>
      </w:r>
    </w:p>
    <w:p w14:paraId="47FDD9B4">
      <w:pPr>
        <w:tabs>
          <w:tab w:val="left" w:pos="900"/>
        </w:tabs>
        <w:spacing w:line="360" w:lineRule="auto"/>
        <w:ind w:firstLine="420" w:firstLineChars="200"/>
        <w:rPr>
          <w:rFonts w:hint="eastAsia" w:ascii="宋体" w:hAnsi="宋体" w:eastAsia="宋体" w:cs="宋体"/>
          <w:szCs w:val="21"/>
        </w:rPr>
      </w:pPr>
      <w:bookmarkStart w:id="43" w:name="_Toc513029210"/>
      <w:bookmarkStart w:id="44" w:name="_Toc20823282"/>
      <w:bookmarkStart w:id="45" w:name="_Toc16938526"/>
      <w:r>
        <w:rPr>
          <w:rFonts w:hint="eastAsia" w:ascii="宋体" w:hAnsi="宋体" w:eastAsia="宋体" w:cs="宋体"/>
          <w:szCs w:val="21"/>
        </w:rPr>
        <w:t>5、磋商文件的约束力</w:t>
      </w:r>
    </w:p>
    <w:p w14:paraId="32A09D59">
      <w:pPr>
        <w:tabs>
          <w:tab w:val="left" w:pos="9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供应商一旦下载了本磋商文件并决定参加磋商，即被认为接受了本磋商文件的规定和约束，并且视为自竞争性磋商公告期限届满之日起已经知道或应当知道自身权益是否受到了损害。</w:t>
      </w:r>
    </w:p>
    <w:p w14:paraId="07DF1B28">
      <w:pPr>
        <w:tabs>
          <w:tab w:val="left" w:pos="900"/>
        </w:tabs>
        <w:spacing w:line="360" w:lineRule="auto"/>
        <w:ind w:firstLine="525" w:firstLineChars="250"/>
        <w:rPr>
          <w:rFonts w:hint="eastAsia" w:ascii="宋体" w:hAnsi="宋体" w:eastAsia="宋体" w:cs="宋体"/>
          <w:szCs w:val="21"/>
        </w:rPr>
      </w:pPr>
      <w:r>
        <w:rPr>
          <w:rFonts w:hint="eastAsia" w:ascii="宋体" w:hAnsi="宋体" w:eastAsia="宋体" w:cs="宋体"/>
          <w:szCs w:val="21"/>
        </w:rPr>
        <w:t>6、磋商文件的询问及修改</w:t>
      </w:r>
    </w:p>
    <w:p w14:paraId="19D7E045">
      <w:pPr>
        <w:spacing w:line="360" w:lineRule="auto"/>
        <w:ind w:firstLine="420" w:firstLineChars="200"/>
        <w:rPr>
          <w:rFonts w:hint="eastAsia" w:ascii="宋体" w:hAnsi="宋体" w:eastAsia="宋体" w:cs="宋体"/>
          <w:szCs w:val="21"/>
        </w:rPr>
      </w:pPr>
      <w:r>
        <w:rPr>
          <w:rFonts w:hint="eastAsia" w:ascii="宋体" w:hAnsi="宋体" w:eastAsia="宋体" w:cs="宋体"/>
          <w:kern w:val="1"/>
          <w:szCs w:val="21"/>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eastAsia="宋体" w:cs="宋体"/>
          <w:szCs w:val="21"/>
          <w:u w:val="none"/>
          <w:lang w:eastAsia="zh-CN"/>
        </w:rPr>
        <w:t>扬州市公共资源交易平台邗江分中心国企采购栏目、扬州维扬发展投资有限公司网站</w:t>
      </w:r>
      <w:r>
        <w:rPr>
          <w:rFonts w:hint="eastAsia" w:ascii="宋体" w:hAnsi="宋体" w:eastAsia="宋体" w:cs="宋体"/>
          <w:kern w:val="1"/>
          <w:szCs w:val="21"/>
        </w:rPr>
        <w:t>”上发布更正公告通知所有获取磋商文件的供应商。不足5日的，代理机构应当顺延提交首次响应文件截止时间</w:t>
      </w:r>
      <w:r>
        <w:rPr>
          <w:rFonts w:hint="eastAsia" w:ascii="宋体" w:hAnsi="宋体" w:eastAsia="宋体" w:cs="宋体"/>
          <w:szCs w:val="21"/>
        </w:rPr>
        <w:t>。</w:t>
      </w:r>
    </w:p>
    <w:p w14:paraId="7D57E1E2">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szCs w:val="21"/>
        </w:rPr>
        <w:t>6.2</w:t>
      </w:r>
      <w:r>
        <w:rPr>
          <w:rFonts w:hint="eastAsia" w:ascii="宋体" w:hAnsi="宋体" w:eastAsia="宋体" w:cs="宋体"/>
          <w:color w:val="000000"/>
          <w:szCs w:val="21"/>
        </w:rPr>
        <w:t>代理机构或采购人可以视采购项目的具体情况，组织供应商进行现场考察或召开磋商前答疑会，但不单独或分别组织只有一个供应商参加的现场考察和答疑会。</w:t>
      </w:r>
    </w:p>
    <w:p w14:paraId="745E0895">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7、磋商文件的解释</w:t>
      </w:r>
    </w:p>
    <w:p w14:paraId="25F0FD18">
      <w:pPr>
        <w:spacing w:line="360" w:lineRule="auto"/>
        <w:ind w:firstLine="525" w:firstLineChars="250"/>
        <w:rPr>
          <w:rFonts w:hint="eastAsia" w:ascii="宋体" w:hAnsi="宋体" w:eastAsia="宋体" w:cs="宋体"/>
        </w:rPr>
      </w:pPr>
      <w:r>
        <w:rPr>
          <w:rFonts w:hint="eastAsia" w:ascii="宋体" w:hAnsi="宋体" w:eastAsia="宋体" w:cs="宋体"/>
          <w:bCs/>
          <w:color w:val="000000"/>
          <w:szCs w:val="21"/>
        </w:rPr>
        <w:t>7.1 本磋商文件由代理机构负责解释。</w:t>
      </w:r>
      <w:bookmarkEnd w:id="43"/>
      <w:bookmarkEnd w:id="44"/>
      <w:bookmarkEnd w:id="45"/>
    </w:p>
    <w:p w14:paraId="20C05731">
      <w:pPr>
        <w:spacing w:line="360" w:lineRule="auto"/>
        <w:ind w:firstLine="527" w:firstLineChars="250"/>
        <w:rPr>
          <w:rFonts w:hint="eastAsia" w:ascii="宋体" w:hAnsi="宋体" w:eastAsia="宋体" w:cs="宋体"/>
          <w:bCs/>
          <w:color w:val="000000"/>
          <w:szCs w:val="21"/>
        </w:rPr>
      </w:pPr>
      <w:r>
        <w:rPr>
          <w:rFonts w:hint="eastAsia" w:ascii="宋体" w:hAnsi="宋体" w:eastAsia="宋体" w:cs="宋体"/>
          <w:b/>
          <w:color w:val="000000"/>
          <w:szCs w:val="21"/>
        </w:rPr>
        <w:t>二、磋商响应文件的编制及保证金收取</w:t>
      </w:r>
    </w:p>
    <w:p w14:paraId="708D8804">
      <w:pPr>
        <w:tabs>
          <w:tab w:val="left" w:pos="900"/>
        </w:tabs>
        <w:spacing w:line="360" w:lineRule="auto"/>
        <w:ind w:firstLine="525" w:firstLineChars="250"/>
        <w:rPr>
          <w:rFonts w:hint="eastAsia" w:ascii="宋体" w:hAnsi="宋体" w:eastAsia="宋体" w:cs="宋体"/>
          <w:color w:val="000000"/>
          <w:szCs w:val="21"/>
        </w:rPr>
      </w:pPr>
      <w:bookmarkStart w:id="46" w:name="_Toc14577361"/>
      <w:bookmarkStart w:id="47" w:name="_Toc513029223"/>
      <w:bookmarkStart w:id="48" w:name="_Toc61149561"/>
      <w:bookmarkStart w:id="49" w:name="_Toc61149562"/>
      <w:bookmarkStart w:id="50" w:name="_Toc513029224"/>
      <w:bookmarkStart w:id="51" w:name="_Toc14577362"/>
      <w:r>
        <w:rPr>
          <w:rFonts w:hint="eastAsia" w:ascii="宋体" w:hAnsi="宋体" w:eastAsia="宋体" w:cs="宋体"/>
          <w:color w:val="000000"/>
          <w:szCs w:val="21"/>
        </w:rPr>
        <w:t>1、磋商响应文件份数和签署</w:t>
      </w:r>
      <w:bookmarkEnd w:id="46"/>
      <w:bookmarkEnd w:id="47"/>
      <w:bookmarkEnd w:id="48"/>
    </w:p>
    <w:p w14:paraId="5794281B">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1.1磋商供应商应严格按照采购邀请要求准备磋商响应文件（以下简称响应文件），每份响应文件须清楚地标明“正本”或“副本”字样。</w:t>
      </w:r>
    </w:p>
    <w:p w14:paraId="5773D5F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656116AB">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 除磋商供应商对错处做必要修改外，响应文件不得行间插字、涂改或增删。如有修改错漏处，必须由响应文件签署人签字或盖章。</w:t>
      </w:r>
    </w:p>
    <w:p w14:paraId="2327C343">
      <w:pPr>
        <w:tabs>
          <w:tab w:val="left" w:pos="900"/>
        </w:tabs>
        <w:spacing w:line="360" w:lineRule="auto"/>
        <w:ind w:firstLine="525" w:firstLineChars="250"/>
        <w:rPr>
          <w:rFonts w:hint="eastAsia" w:ascii="宋体" w:hAnsi="宋体" w:eastAsia="宋体" w:cs="宋体"/>
          <w:color w:val="000000"/>
          <w:szCs w:val="21"/>
        </w:rPr>
      </w:pPr>
      <w:bookmarkStart w:id="52" w:name="_Hlt26954834"/>
      <w:bookmarkEnd w:id="52"/>
      <w:bookmarkStart w:id="53" w:name="_Toc61149555"/>
      <w:bookmarkStart w:id="54" w:name="_Toc14577353"/>
      <w:bookmarkStart w:id="55" w:name="_Toc462564074"/>
      <w:bookmarkStart w:id="56" w:name="_Toc513029215"/>
      <w:bookmarkStart w:id="57" w:name="_Toc462564073"/>
      <w:bookmarkStart w:id="58" w:name="_Toc14577352"/>
      <w:bookmarkStart w:id="59" w:name="_Toc513029214"/>
      <w:bookmarkStart w:id="60" w:name="_Toc61149554"/>
      <w:r>
        <w:rPr>
          <w:rFonts w:hint="eastAsia" w:ascii="宋体" w:hAnsi="宋体" w:eastAsia="宋体" w:cs="宋体"/>
          <w:color w:val="000000"/>
          <w:szCs w:val="21"/>
        </w:rPr>
        <w:t>2、响应文件</w:t>
      </w:r>
      <w:bookmarkEnd w:id="53"/>
      <w:bookmarkEnd w:id="54"/>
      <w:bookmarkEnd w:id="55"/>
      <w:bookmarkEnd w:id="56"/>
      <w:r>
        <w:rPr>
          <w:rFonts w:hint="eastAsia" w:ascii="宋体" w:hAnsi="宋体" w:eastAsia="宋体" w:cs="宋体"/>
          <w:color w:val="000000"/>
          <w:szCs w:val="21"/>
        </w:rPr>
        <w:t>编制要求</w:t>
      </w:r>
    </w:p>
    <w:bookmarkEnd w:id="57"/>
    <w:bookmarkEnd w:id="58"/>
    <w:bookmarkEnd w:id="59"/>
    <w:bookmarkEnd w:id="60"/>
    <w:p w14:paraId="7EE55EE0">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2.1磋商供应商提交的响应文件以及磋商供应商与代理机构及采购人就有关磋商的所有来往函电均应使用简体中文。磋商文件中既有中文也有外文的，以中文意义为准。</w:t>
      </w:r>
    </w:p>
    <w:p w14:paraId="6932C1C9">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2.2 除技术性能另有规定外，响应文件所使用的度量衡单位，均须采用国家法定计量单位。</w:t>
      </w:r>
    </w:p>
    <w:p w14:paraId="232E6997">
      <w:pPr>
        <w:tabs>
          <w:tab w:val="left" w:pos="900"/>
        </w:tabs>
        <w:spacing w:line="360" w:lineRule="auto"/>
        <w:ind w:firstLine="525" w:firstLineChars="250"/>
        <w:rPr>
          <w:rFonts w:hint="eastAsia" w:ascii="宋体" w:hAnsi="宋体" w:eastAsia="宋体" w:cs="宋体"/>
          <w:color w:val="000000"/>
          <w:szCs w:val="21"/>
        </w:rPr>
      </w:pPr>
      <w:bookmarkStart w:id="61" w:name="_Hlt26670357"/>
      <w:bookmarkEnd w:id="61"/>
      <w:bookmarkStart w:id="62" w:name="_Hlt26954836"/>
      <w:bookmarkEnd w:id="62"/>
      <w:bookmarkStart w:id="63" w:name="_Toc14577357"/>
      <w:bookmarkStart w:id="64" w:name="_Toc513029219"/>
      <w:bookmarkStart w:id="65" w:name="_Toc61149558"/>
      <w:bookmarkStart w:id="66" w:name="_Toc513029217"/>
      <w:bookmarkStart w:id="67" w:name="_Toc14577355"/>
      <w:bookmarkStart w:id="68" w:name="_Toc61149557"/>
      <w:r>
        <w:rPr>
          <w:rFonts w:hint="eastAsia" w:ascii="宋体" w:hAnsi="宋体" w:eastAsia="宋体" w:cs="宋体"/>
          <w:color w:val="000000"/>
          <w:szCs w:val="21"/>
        </w:rPr>
        <w:t>3、参加磋商供应商资格的文件</w:t>
      </w:r>
      <w:bookmarkEnd w:id="63"/>
      <w:bookmarkEnd w:id="64"/>
      <w:bookmarkEnd w:id="65"/>
      <w:r>
        <w:rPr>
          <w:rFonts w:hint="eastAsia" w:ascii="宋体" w:hAnsi="宋体" w:eastAsia="宋体" w:cs="宋体"/>
          <w:color w:val="000000"/>
          <w:szCs w:val="21"/>
        </w:rPr>
        <w:t>证明</w:t>
      </w:r>
    </w:p>
    <w:p w14:paraId="4B444925">
      <w:pPr>
        <w:tabs>
          <w:tab w:val="left" w:pos="900"/>
        </w:tabs>
        <w:spacing w:line="360" w:lineRule="auto"/>
        <w:ind w:firstLine="420" w:firstLineChars="200"/>
        <w:rPr>
          <w:rFonts w:hint="eastAsia" w:ascii="宋体" w:hAnsi="宋体" w:eastAsia="宋体" w:cs="宋体"/>
          <w:color w:val="000000"/>
          <w:szCs w:val="21"/>
        </w:rPr>
      </w:pPr>
      <w:bookmarkStart w:id="69" w:name="_Hlt26668999"/>
      <w:bookmarkEnd w:id="69"/>
      <w:r>
        <w:rPr>
          <w:rFonts w:hint="eastAsia" w:ascii="宋体" w:hAnsi="宋体" w:eastAsia="宋体" w:cs="宋体"/>
          <w:color w:val="000000"/>
          <w:szCs w:val="21"/>
        </w:rPr>
        <w:t>3.1磋商供应商应提交证明其有资格参加磋商和成交后有能力独立履行合同的文件，并作为其响应文件的一部分。</w:t>
      </w:r>
    </w:p>
    <w:p w14:paraId="30994283">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3.2磋商供应商除必须具有履行合同所需提供的设备以及服务的能力外，还必须具备相应的财务、技术方面的能力。</w:t>
      </w:r>
    </w:p>
    <w:p w14:paraId="0BB19533">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3.3磋商供应商应填写并提交磋商文件所附的“资格证明文件”。</w:t>
      </w:r>
    </w:p>
    <w:p w14:paraId="2C9FE5E1">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4、磋商响应报价</w:t>
      </w:r>
      <w:bookmarkEnd w:id="66"/>
      <w:bookmarkEnd w:id="67"/>
      <w:bookmarkStart w:id="70" w:name="_Hlt26670373"/>
      <w:bookmarkEnd w:id="70"/>
      <w:r>
        <w:rPr>
          <w:rFonts w:hint="eastAsia" w:ascii="宋体" w:hAnsi="宋体" w:eastAsia="宋体" w:cs="宋体"/>
          <w:color w:val="000000"/>
          <w:szCs w:val="21"/>
        </w:rPr>
        <w:t>表</w:t>
      </w:r>
      <w:bookmarkEnd w:id="68"/>
    </w:p>
    <w:p w14:paraId="42C16C2B">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4.1磋商供应商应按照磋商文件规定格式填报磋商响应报价表（含分项报价）。每项产品或服务只允许有一个报价，任何有选择的报价将不予接受，磋商文件中另有规定的按规定执行。</w:t>
      </w:r>
    </w:p>
    <w:p w14:paraId="3B71049B">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4.2标的物</w:t>
      </w:r>
    </w:p>
    <w:p w14:paraId="1703F4E3">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详见项目需求。</w:t>
      </w:r>
    </w:p>
    <w:p w14:paraId="50896044">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4.3有关费用处理</w:t>
      </w:r>
    </w:p>
    <w:p w14:paraId="079740DC">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本次采购磋商供应商的总报价应包括为完成本项目发生的所有费用，本磋商文件中另有规定的除外。</w:t>
      </w:r>
    </w:p>
    <w:p w14:paraId="73115DCA">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4.4其它费用处理</w:t>
      </w:r>
    </w:p>
    <w:p w14:paraId="63A92E4F">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磋商文件未列明，而磋商供应商认为必须的费用也须列入报价。</w:t>
      </w:r>
    </w:p>
    <w:p w14:paraId="1A6FD900">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4.5报价采用的货币</w:t>
      </w:r>
    </w:p>
    <w:p w14:paraId="2CE629A6">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响应文件中的单价和总价，无特殊规定的采用人民币报价，以元为单位标注。磋商文件中另有规定的按规定执行。</w:t>
      </w:r>
    </w:p>
    <w:p w14:paraId="1637DDC8">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4.6 磋商响应报价表上的价格应按磋商文件规定填写。</w:t>
      </w:r>
    </w:p>
    <w:p w14:paraId="6B128F61">
      <w:pPr>
        <w:tabs>
          <w:tab w:val="left" w:pos="900"/>
        </w:tabs>
        <w:spacing w:line="360" w:lineRule="auto"/>
        <w:ind w:firstLine="525" w:firstLineChars="250"/>
        <w:rPr>
          <w:rFonts w:hint="eastAsia" w:ascii="宋体" w:hAnsi="宋体" w:eastAsia="宋体" w:cs="宋体"/>
          <w:color w:val="000000"/>
          <w:szCs w:val="21"/>
        </w:rPr>
      </w:pPr>
      <w:bookmarkStart w:id="71" w:name="_Hlt26954846"/>
      <w:bookmarkEnd w:id="71"/>
      <w:bookmarkStart w:id="72" w:name="_Hlt26954842"/>
      <w:bookmarkEnd w:id="72"/>
      <w:bookmarkStart w:id="73" w:name="_Hlt26668983"/>
      <w:bookmarkEnd w:id="73"/>
      <w:bookmarkStart w:id="74" w:name="_Hlt26954731"/>
      <w:bookmarkEnd w:id="74"/>
      <w:bookmarkStart w:id="75" w:name="_Hlt26670482"/>
      <w:bookmarkEnd w:id="75"/>
      <w:bookmarkStart w:id="76" w:name="_Hlt26670403"/>
      <w:bookmarkEnd w:id="76"/>
      <w:bookmarkStart w:id="77" w:name="_Hlt26954848"/>
      <w:bookmarkEnd w:id="77"/>
      <w:bookmarkStart w:id="78" w:name="_Hlt26670425"/>
      <w:bookmarkEnd w:id="78"/>
      <w:bookmarkStart w:id="79" w:name="_Hlt26954844"/>
      <w:bookmarkEnd w:id="79"/>
      <w:bookmarkStart w:id="80" w:name="_Hlt26670486"/>
      <w:bookmarkEnd w:id="80"/>
      <w:bookmarkStart w:id="81" w:name="_Toc61149559"/>
      <w:bookmarkStart w:id="82" w:name="_Toc14577359"/>
      <w:bookmarkStart w:id="83" w:name="_Toc513029221"/>
      <w:r>
        <w:rPr>
          <w:rFonts w:hint="eastAsia" w:ascii="宋体" w:hAnsi="宋体" w:eastAsia="宋体" w:cs="宋体"/>
          <w:color w:val="000000"/>
          <w:szCs w:val="21"/>
        </w:rPr>
        <w:t>5、项目需求响应方案</w:t>
      </w:r>
    </w:p>
    <w:p w14:paraId="79D4C9A1">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5.1提供为完成本项目的总体实施方案。</w:t>
      </w:r>
    </w:p>
    <w:p w14:paraId="2A628235">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5.2对磋商文件中项目需求的技术与商务条款要求逐项作出应答，并提供依据或说明。</w:t>
      </w:r>
    </w:p>
    <w:p w14:paraId="7BE4F801">
      <w:p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5.3磋商供应商认为需要的其他技术文件或说明。</w:t>
      </w:r>
    </w:p>
    <w:p w14:paraId="7DE2CECC">
      <w:pPr>
        <w:numPr>
          <w:ilvl w:val="0"/>
          <w:numId w:val="5"/>
        </w:numPr>
        <w:tabs>
          <w:tab w:val="left" w:pos="900"/>
        </w:tabs>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磋商保证金</w:t>
      </w:r>
      <w:bookmarkEnd w:id="81"/>
      <w:bookmarkEnd w:id="82"/>
      <w:bookmarkEnd w:id="83"/>
    </w:p>
    <w:p w14:paraId="4F6F95F6">
      <w:pPr>
        <w:tabs>
          <w:tab w:val="left" w:pos="900"/>
        </w:tabs>
        <w:spacing w:line="360" w:lineRule="auto"/>
        <w:ind w:firstLine="630" w:firstLineChars="300"/>
        <w:rPr>
          <w:rFonts w:hint="eastAsia" w:ascii="宋体" w:hAnsi="宋体" w:eastAsia="宋体" w:cs="宋体"/>
          <w:color w:val="000000"/>
          <w:szCs w:val="21"/>
        </w:rPr>
      </w:pPr>
      <w:r>
        <w:rPr>
          <w:rFonts w:hint="eastAsia" w:ascii="宋体" w:hAnsi="宋体" w:eastAsia="宋体" w:cs="宋体"/>
          <w:color w:val="000000"/>
          <w:szCs w:val="21"/>
        </w:rPr>
        <w:t>本项目无磋商保证金</w:t>
      </w:r>
    </w:p>
    <w:p w14:paraId="4B6B7967">
      <w:pPr>
        <w:tabs>
          <w:tab w:val="left" w:pos="900"/>
        </w:tabs>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三、磋商响应文件的递交</w:t>
      </w:r>
      <w:bookmarkEnd w:id="49"/>
      <w:bookmarkEnd w:id="50"/>
      <w:bookmarkEnd w:id="51"/>
    </w:p>
    <w:p w14:paraId="16530A06">
      <w:pPr>
        <w:tabs>
          <w:tab w:val="left" w:pos="900"/>
        </w:tabs>
        <w:spacing w:line="360" w:lineRule="auto"/>
        <w:ind w:firstLine="420" w:firstLineChars="200"/>
        <w:rPr>
          <w:rFonts w:hint="eastAsia" w:ascii="宋体" w:hAnsi="宋体" w:eastAsia="宋体" w:cs="宋体"/>
          <w:color w:val="000000"/>
          <w:szCs w:val="21"/>
        </w:rPr>
      </w:pPr>
      <w:bookmarkStart w:id="84" w:name="_Hlt26954856"/>
      <w:bookmarkEnd w:id="84"/>
      <w:bookmarkStart w:id="85" w:name="_Toc61149563"/>
      <w:bookmarkStart w:id="86" w:name="_Toc513029225"/>
      <w:bookmarkStart w:id="87" w:name="_Toc462564084"/>
      <w:bookmarkStart w:id="88" w:name="_Toc14577363"/>
      <w:r>
        <w:rPr>
          <w:rFonts w:hint="eastAsia" w:ascii="宋体" w:hAnsi="宋体" w:eastAsia="宋体" w:cs="宋体"/>
          <w:color w:val="000000"/>
          <w:szCs w:val="21"/>
        </w:rPr>
        <w:t>1、响应文件</w:t>
      </w:r>
      <w:bookmarkStart w:id="89" w:name="_Hlt26954743"/>
      <w:bookmarkEnd w:id="89"/>
      <w:r>
        <w:rPr>
          <w:rFonts w:hint="eastAsia" w:ascii="宋体" w:hAnsi="宋体" w:eastAsia="宋体" w:cs="宋体"/>
          <w:color w:val="000000"/>
          <w:szCs w:val="21"/>
        </w:rPr>
        <w:t>的密封和标记</w:t>
      </w:r>
      <w:bookmarkEnd w:id="85"/>
      <w:bookmarkEnd w:id="86"/>
      <w:bookmarkEnd w:id="87"/>
      <w:bookmarkEnd w:id="88"/>
    </w:p>
    <w:p w14:paraId="2C17A882">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w:t>
      </w:r>
      <w:r>
        <w:rPr>
          <w:rFonts w:hint="eastAsia" w:ascii="宋体" w:hAnsi="宋体" w:eastAsia="宋体" w:cs="宋体"/>
          <w:b/>
          <w:color w:val="000000"/>
          <w:szCs w:val="21"/>
        </w:rPr>
        <w:t>磋商供应商应严格按照采购公告要求的份数准备响应文件，磋商供应商应将响应文件正本和所有副本用单独的封袋密封，</w:t>
      </w:r>
      <w:r>
        <w:rPr>
          <w:rFonts w:hint="eastAsia" w:ascii="宋体" w:hAnsi="宋体" w:eastAsia="宋体" w:cs="宋体"/>
          <w:color w:val="000000"/>
          <w:szCs w:val="21"/>
        </w:rPr>
        <w:t>封袋上标明“正本”或“副本”字样，并且每份响应文件须清楚地标明“正本”或“副本”字样。一旦正本和副本不符，以正本为准。</w:t>
      </w:r>
    </w:p>
    <w:p w14:paraId="796971E3">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1.2密封的响应文件应：</w:t>
      </w:r>
    </w:p>
    <w:p w14:paraId="24195BE7">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（1）按采购邀请中注明的地址送达规定地点；</w:t>
      </w:r>
    </w:p>
    <w:p w14:paraId="2162F436">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（2）注明参加磋商项目名称、项目编号及参加的分包号（如有）；</w:t>
      </w:r>
    </w:p>
    <w:p w14:paraId="05F83E72">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（3）密封包装上应写明磋商供应商名称和地址。</w:t>
      </w:r>
    </w:p>
    <w:p w14:paraId="4846DDF9">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1.3如果密封包装未按要求密封和加写标记，代理机构对误投或过早启封概不负责。对由此造成提前开封的响应文件，代理机构将予以拒绝，作无效响应处理。</w:t>
      </w:r>
    </w:p>
    <w:p w14:paraId="1F576044">
      <w:pPr>
        <w:tabs>
          <w:tab w:val="left" w:pos="900"/>
        </w:tabs>
        <w:spacing w:line="360" w:lineRule="auto"/>
        <w:ind w:firstLine="420" w:firstLineChars="200"/>
        <w:rPr>
          <w:rFonts w:hint="eastAsia" w:ascii="宋体" w:hAnsi="宋体" w:eastAsia="宋体" w:cs="宋体"/>
          <w:color w:val="000000"/>
          <w:szCs w:val="21"/>
        </w:rPr>
      </w:pPr>
      <w:bookmarkStart w:id="90" w:name="_Hlt26954858"/>
      <w:bookmarkEnd w:id="90"/>
      <w:bookmarkStart w:id="91" w:name="_Hlt26670496"/>
      <w:bookmarkEnd w:id="91"/>
      <w:bookmarkStart w:id="92" w:name="_Hlt26954752"/>
      <w:bookmarkEnd w:id="92"/>
      <w:bookmarkStart w:id="93" w:name="_Toc61149564"/>
      <w:bookmarkStart w:id="94" w:name="_Toc513029226"/>
      <w:bookmarkStart w:id="95" w:name="_Toc14577364"/>
      <w:r>
        <w:rPr>
          <w:rFonts w:hint="eastAsia" w:ascii="宋体" w:hAnsi="宋体" w:eastAsia="宋体" w:cs="宋体"/>
          <w:color w:val="000000"/>
          <w:szCs w:val="21"/>
        </w:rPr>
        <w:t>2、</w:t>
      </w:r>
      <w:bookmarkEnd w:id="93"/>
      <w:bookmarkEnd w:id="94"/>
      <w:bookmarkEnd w:id="95"/>
      <w:r>
        <w:rPr>
          <w:rFonts w:hint="eastAsia" w:ascii="宋体" w:hAnsi="宋体" w:eastAsia="宋体" w:cs="宋体"/>
          <w:color w:val="000000"/>
          <w:szCs w:val="21"/>
        </w:rPr>
        <w:t>响应文件开启时间</w:t>
      </w:r>
    </w:p>
    <w:p w14:paraId="690B9FF7">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2.1代理机构收到响应文件的时间不得迟于本磋商文件规定的响应文件接收截止时间。</w:t>
      </w:r>
    </w:p>
    <w:p w14:paraId="0F590716">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2.2代理机构有权通过修改磋商文件推迟响应文件接收截止时间，在此情况下，磋商供应商的所有权利和义务以及受制的响应文件接收截止时间均应以延长后新的响应文件接收截止时间为准。</w:t>
      </w:r>
    </w:p>
    <w:p w14:paraId="593FAE27">
      <w:pPr>
        <w:tabs>
          <w:tab w:val="left" w:pos="900"/>
        </w:tabs>
        <w:spacing w:line="360" w:lineRule="auto"/>
        <w:ind w:firstLine="420" w:firstLineChars="200"/>
        <w:rPr>
          <w:rFonts w:hint="eastAsia" w:ascii="宋体" w:hAnsi="宋体" w:eastAsia="宋体" w:cs="宋体"/>
          <w:color w:val="000000"/>
          <w:szCs w:val="21"/>
        </w:rPr>
      </w:pPr>
      <w:bookmarkStart w:id="96" w:name="_Hlt26954860"/>
      <w:bookmarkEnd w:id="96"/>
      <w:bookmarkStart w:id="97" w:name="_Toc61149565"/>
      <w:bookmarkStart w:id="98" w:name="_Toc14577365"/>
      <w:bookmarkStart w:id="99" w:name="_Toc513029227"/>
      <w:r>
        <w:rPr>
          <w:rFonts w:hint="eastAsia" w:ascii="宋体" w:hAnsi="宋体" w:eastAsia="宋体" w:cs="宋体"/>
          <w:color w:val="000000"/>
          <w:szCs w:val="21"/>
        </w:rPr>
        <w:t>3、迟交的响应文件</w:t>
      </w:r>
      <w:bookmarkEnd w:id="97"/>
      <w:bookmarkEnd w:id="98"/>
      <w:bookmarkEnd w:id="99"/>
    </w:p>
    <w:p w14:paraId="44DD0C16">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3.1代理机构将拒绝在规定的响应文件接收截止时间后接收任何响应文件。</w:t>
      </w:r>
    </w:p>
    <w:p w14:paraId="224ADE4F">
      <w:pPr>
        <w:tabs>
          <w:tab w:val="left" w:pos="900"/>
        </w:tabs>
        <w:spacing w:line="360" w:lineRule="auto"/>
        <w:ind w:firstLine="420" w:firstLineChars="200"/>
        <w:rPr>
          <w:rFonts w:hint="eastAsia" w:ascii="宋体" w:hAnsi="宋体" w:eastAsia="宋体" w:cs="宋体"/>
          <w:color w:val="000000"/>
          <w:szCs w:val="21"/>
        </w:rPr>
      </w:pPr>
      <w:bookmarkStart w:id="100" w:name="_Hlt26954862"/>
      <w:bookmarkEnd w:id="100"/>
      <w:bookmarkStart w:id="101" w:name="_Hlt26954754"/>
      <w:bookmarkEnd w:id="101"/>
      <w:bookmarkStart w:id="102" w:name="_Toc14577366"/>
      <w:bookmarkStart w:id="103" w:name="_Toc61149566"/>
      <w:bookmarkStart w:id="104" w:name="_Toc513029228"/>
      <w:r>
        <w:rPr>
          <w:rFonts w:hint="eastAsia" w:ascii="宋体" w:hAnsi="宋体" w:eastAsia="宋体" w:cs="宋体"/>
          <w:color w:val="000000"/>
          <w:szCs w:val="21"/>
        </w:rPr>
        <w:t>4、响应文件</w:t>
      </w:r>
      <w:bookmarkStart w:id="105" w:name="_Hlt26670588"/>
      <w:r>
        <w:rPr>
          <w:rFonts w:hint="eastAsia" w:ascii="宋体" w:hAnsi="宋体" w:eastAsia="宋体" w:cs="宋体"/>
          <w:color w:val="000000"/>
          <w:szCs w:val="21"/>
        </w:rPr>
        <w:t>的修改</w:t>
      </w:r>
      <w:bookmarkEnd w:id="105"/>
      <w:r>
        <w:rPr>
          <w:rFonts w:hint="eastAsia" w:ascii="宋体" w:hAnsi="宋体" w:eastAsia="宋体" w:cs="宋体"/>
          <w:color w:val="000000"/>
          <w:szCs w:val="21"/>
        </w:rPr>
        <w:t>和撤回</w:t>
      </w:r>
      <w:bookmarkEnd w:id="102"/>
      <w:bookmarkEnd w:id="103"/>
      <w:bookmarkEnd w:id="104"/>
    </w:p>
    <w:p w14:paraId="5FF8759F">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4.1磋商供应商在递交响应文件后，可以修改或撤回其谈判响应文件，但这种修改和撤回，必须在规定的响应文件接收截止时间前，以书面形式送达指定地点。</w:t>
      </w:r>
    </w:p>
    <w:p w14:paraId="6486B4B7">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4.2磋商供应商的修改或撤回通知书，应按本文件规定进行编制、密封、标记和发送，并应在封套上加注“修改”和“撤回”字样。</w:t>
      </w:r>
    </w:p>
    <w:p w14:paraId="5E098106">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4.3 磋商供应商在提交最后报价之前，可以根据磋商情况退出磋商。</w:t>
      </w:r>
    </w:p>
    <w:p w14:paraId="08DDF7C9">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5、磋商响应有效期</w:t>
      </w:r>
    </w:p>
    <w:p w14:paraId="484D3F4E">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5.1 磋商响应有效期为代理机构规定的响应文件接收截止时间后六十（60）天。磋商响应有效期比规定短的将被视为非实质性响应性而予以拒绝。</w:t>
      </w:r>
    </w:p>
    <w:p w14:paraId="65EFFFE1">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受磋商响应有效期约束的所有权利与义务均延长至新的有效期。</w:t>
      </w:r>
    </w:p>
    <w:p w14:paraId="7AEC3FD5">
      <w:pPr>
        <w:tabs>
          <w:tab w:val="left" w:pos="900"/>
        </w:tabs>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四、磋商与评审</w:t>
      </w:r>
    </w:p>
    <w:p w14:paraId="0E009918">
      <w:pPr>
        <w:tabs>
          <w:tab w:val="left" w:pos="900"/>
        </w:tabs>
        <w:spacing w:line="360" w:lineRule="auto"/>
        <w:ind w:firstLine="420" w:firstLineChars="200"/>
        <w:rPr>
          <w:rFonts w:hint="eastAsia" w:ascii="宋体" w:hAnsi="宋体" w:eastAsia="宋体" w:cs="宋体"/>
          <w:color w:val="000000"/>
          <w:szCs w:val="21"/>
        </w:rPr>
      </w:pPr>
      <w:bookmarkStart w:id="106" w:name="_Toc513029230"/>
      <w:bookmarkStart w:id="107" w:name="_Toc20823302"/>
      <w:bookmarkStart w:id="108" w:name="_Toc16938546"/>
      <w:r>
        <w:rPr>
          <w:rFonts w:hint="eastAsia" w:ascii="宋体" w:hAnsi="宋体" w:eastAsia="宋体" w:cs="宋体"/>
          <w:color w:val="000000"/>
          <w:szCs w:val="21"/>
        </w:rPr>
        <w:t>1、</w:t>
      </w:r>
      <w:bookmarkEnd w:id="106"/>
      <w:bookmarkEnd w:id="107"/>
      <w:bookmarkEnd w:id="108"/>
      <w:r>
        <w:rPr>
          <w:rFonts w:hint="eastAsia" w:ascii="宋体" w:hAnsi="宋体" w:eastAsia="宋体" w:cs="宋体"/>
          <w:color w:val="000000"/>
          <w:szCs w:val="21"/>
        </w:rPr>
        <w:t>磋商仪式</w:t>
      </w:r>
    </w:p>
    <w:p w14:paraId="4FF47C37">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1.1代理机构将在采购邀请中规定的时间和地点组织磋商开始仪式，仪式由代理机构主持，磋商供应商应委派携带有效证件的代表准时参加，参加仪式的代表需签名以证明其出席。</w:t>
      </w:r>
    </w:p>
    <w:p w14:paraId="3818ACA8">
      <w:pPr>
        <w:tabs>
          <w:tab w:val="left" w:pos="900"/>
        </w:tabs>
        <w:spacing w:line="360" w:lineRule="auto"/>
        <w:ind w:firstLine="420" w:firstLineChars="200"/>
        <w:rPr>
          <w:rFonts w:hint="eastAsia" w:ascii="宋体" w:hAnsi="宋体" w:eastAsia="宋体" w:cs="宋体"/>
          <w:color w:val="000000"/>
          <w:szCs w:val="21"/>
        </w:rPr>
      </w:pPr>
      <w:bookmarkStart w:id="109" w:name="_Toc16938547"/>
      <w:bookmarkStart w:id="110" w:name="_Toc20823303"/>
      <w:bookmarkStart w:id="111" w:name="_Toc513029231"/>
      <w:r>
        <w:rPr>
          <w:rFonts w:hint="eastAsia" w:ascii="宋体" w:hAnsi="宋体" w:eastAsia="宋体" w:cs="宋体"/>
          <w:color w:val="000000"/>
          <w:szCs w:val="21"/>
        </w:rPr>
        <w:t>2、磋商小组</w:t>
      </w:r>
    </w:p>
    <w:p w14:paraId="6E7D23F3">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2.1 磋商开始仪式结束后，代理机构将立即组织磋商小组进行评审。</w:t>
      </w:r>
    </w:p>
    <w:p w14:paraId="00B17C33">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2.2 磋商小组由评审专家组成，且人员构成符合有关规定。</w:t>
      </w:r>
    </w:p>
    <w:p w14:paraId="08E5579F">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3、磋商评审过程的保密</w:t>
      </w:r>
      <w:bookmarkEnd w:id="109"/>
      <w:bookmarkEnd w:id="110"/>
      <w:bookmarkEnd w:id="111"/>
      <w:r>
        <w:rPr>
          <w:rFonts w:hint="eastAsia" w:ascii="宋体" w:hAnsi="宋体" w:eastAsia="宋体" w:cs="宋体"/>
          <w:color w:val="000000"/>
          <w:szCs w:val="21"/>
        </w:rPr>
        <w:t>与公正</w:t>
      </w:r>
    </w:p>
    <w:p w14:paraId="2AE2763B">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3.1磋商小组、采购人和代理机构工作人员、相关监督人员等与评审工作有关的人员，对评审情况以及在评审过程中获悉的国家秘密、商业秘密负有保密责任。</w:t>
      </w:r>
    </w:p>
    <w:p w14:paraId="1FB5F548">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3.2在磋商评审过程中，磋商供应商不得以任何行为影响磋商评审过程，否则其响应文件将被作为无效响应文件。</w:t>
      </w:r>
    </w:p>
    <w:p w14:paraId="7654E1C6">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4098377">
      <w:pPr>
        <w:tabs>
          <w:tab w:val="left" w:pos="900"/>
        </w:tabs>
        <w:spacing w:line="360" w:lineRule="auto"/>
        <w:ind w:firstLine="420" w:firstLineChars="200"/>
        <w:rPr>
          <w:rFonts w:hint="eastAsia" w:ascii="宋体" w:hAnsi="宋体" w:eastAsia="宋体" w:cs="宋体"/>
          <w:color w:val="000000"/>
          <w:szCs w:val="21"/>
        </w:rPr>
      </w:pPr>
      <w:bookmarkStart w:id="112" w:name="_Toc513029232"/>
      <w:bookmarkStart w:id="113" w:name="_Toc20823304"/>
      <w:bookmarkStart w:id="114" w:name="_Toc16938548"/>
      <w:r>
        <w:rPr>
          <w:rFonts w:hint="eastAsia" w:ascii="宋体" w:hAnsi="宋体" w:eastAsia="宋体" w:cs="宋体"/>
          <w:color w:val="000000"/>
          <w:szCs w:val="21"/>
        </w:rPr>
        <w:t>4、评审过程的澄清</w:t>
      </w:r>
      <w:bookmarkEnd w:id="112"/>
      <w:bookmarkEnd w:id="113"/>
      <w:bookmarkEnd w:id="114"/>
      <w:r>
        <w:rPr>
          <w:rFonts w:hint="eastAsia" w:ascii="宋体" w:hAnsi="宋体" w:eastAsia="宋体" w:cs="宋体"/>
          <w:color w:val="000000"/>
          <w:szCs w:val="21"/>
        </w:rPr>
        <w:t>、说明和更正</w:t>
      </w:r>
    </w:p>
    <w:p w14:paraId="3E40AC93">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EBE40E">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303406B2">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4.3 接到磋商小组澄清要求的供应商如未按规定做出澄清，其风险由供应商自行承担。</w:t>
      </w:r>
    </w:p>
    <w:p w14:paraId="34EF88AE">
      <w:pPr>
        <w:tabs>
          <w:tab w:val="left" w:pos="900"/>
        </w:tabs>
        <w:spacing w:line="360" w:lineRule="auto"/>
        <w:ind w:firstLine="420" w:firstLineChars="200"/>
        <w:rPr>
          <w:rFonts w:hint="eastAsia" w:ascii="宋体" w:hAnsi="宋体" w:eastAsia="宋体" w:cs="宋体"/>
          <w:color w:val="000000"/>
          <w:szCs w:val="21"/>
        </w:rPr>
      </w:pPr>
      <w:bookmarkStart w:id="115" w:name="_Toc16938549"/>
      <w:bookmarkStart w:id="116" w:name="_Toc20823305"/>
      <w:bookmarkStart w:id="117" w:name="_Toc513029233"/>
      <w:r>
        <w:rPr>
          <w:rFonts w:hint="eastAsia" w:ascii="宋体" w:hAnsi="宋体" w:eastAsia="宋体" w:cs="宋体"/>
          <w:color w:val="000000"/>
          <w:szCs w:val="21"/>
        </w:rPr>
        <w:t>5、对响应文件的初审</w:t>
      </w:r>
      <w:bookmarkEnd w:id="115"/>
      <w:bookmarkEnd w:id="116"/>
      <w:bookmarkEnd w:id="117"/>
    </w:p>
    <w:p w14:paraId="7C573B1E">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5.1响应文件初审分为资格性检查和符合性检查。</w:t>
      </w:r>
    </w:p>
    <w:p w14:paraId="4BF05EF7">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资格性检查：依据法律法规和磋商文件的规定，对响应文件中的资格证明文件等进行审查，以确定供应商是否具备参加磋商的资格。</w:t>
      </w:r>
    </w:p>
    <w:p w14:paraId="3ACECF4E">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符合性检查：依据磋商文件的规定，从响应文件的有效性、完整性和对磋商文件的响应程度进行审查，以确定是否对磋商文件的实质性要求作出响应。</w:t>
      </w:r>
    </w:p>
    <w:p w14:paraId="7E4293F6">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5.2在正式磋商之前，磋商小组将首先审查每份响应文件是否实质性响应了磋商文件的要求。实质性响应的响应文件应该是与磋商文件要求的条款、条件和规格相符，没有重大偏离或保留。</w:t>
      </w:r>
    </w:p>
    <w:p w14:paraId="4415F04D">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14:paraId="2F1AE221">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5.3 被认定为未实质性响应磋商文件的响应文件的情形</w:t>
      </w:r>
    </w:p>
    <w:p w14:paraId="2FAC5FBA">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（1）未按照磋商文件规定要求密封、签署、盖章的；</w:t>
      </w:r>
    </w:p>
    <w:p w14:paraId="71BF191F">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（2）供应商在报价时采用选择性报价；</w:t>
      </w:r>
    </w:p>
    <w:p w14:paraId="7AF878CE">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（3）供应商不具备磋商文件中规定资格要求的；</w:t>
      </w:r>
    </w:p>
    <w:p w14:paraId="0066084B">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（4）不符合法律、法规和磋商文件中规定的其他实质性要求和条件的（本磋商文件中斜体且有下划线部分为实质性要求和条件）；</w:t>
      </w:r>
    </w:p>
    <w:p w14:paraId="5FE203AE">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（5）不可竞争费未按规定计价的；</w:t>
      </w:r>
    </w:p>
    <w:p w14:paraId="26BC1932">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（6）其他法律、法规及本磋商文件规定的属未实质性响应的响应文件的情形。</w:t>
      </w:r>
    </w:p>
    <w:p w14:paraId="212FC464">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5.4 未实质性响应磋商文件的响应文件按无效响应处理，磋商小组将予以拒绝，供应商不得通过修改或撤销不合要求的偏离或保留而使其响应文件成为实质性响应的文件。</w:t>
      </w:r>
    </w:p>
    <w:p w14:paraId="2D4CE901">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3DA75539">
      <w:pPr>
        <w:tabs>
          <w:tab w:val="left" w:pos="900"/>
        </w:tabs>
        <w:spacing w:line="360" w:lineRule="auto"/>
        <w:ind w:firstLine="420" w:firstLineChars="200"/>
        <w:rPr>
          <w:rFonts w:hint="eastAsia" w:ascii="宋体" w:hAnsi="宋体" w:eastAsia="宋体" w:cs="宋体"/>
          <w:color w:val="000000"/>
          <w:szCs w:val="21"/>
        </w:rPr>
      </w:pPr>
      <w:bookmarkStart w:id="118" w:name="_Toc20823306"/>
      <w:bookmarkStart w:id="119" w:name="_Toc16938550"/>
      <w:bookmarkStart w:id="120" w:name="_Toc513029234"/>
      <w:r>
        <w:rPr>
          <w:rFonts w:hint="eastAsia" w:ascii="宋体" w:hAnsi="宋体" w:eastAsia="宋体" w:cs="宋体"/>
          <w:color w:val="000000"/>
          <w:szCs w:val="21"/>
        </w:rPr>
        <w:t>6、</w:t>
      </w:r>
      <w:bookmarkEnd w:id="118"/>
      <w:bookmarkEnd w:id="119"/>
      <w:bookmarkEnd w:id="120"/>
      <w:r>
        <w:rPr>
          <w:rFonts w:hint="eastAsia" w:ascii="宋体" w:hAnsi="宋体" w:eastAsia="宋体" w:cs="宋体"/>
          <w:color w:val="000000"/>
          <w:szCs w:val="21"/>
        </w:rPr>
        <w:t>磋商程序及评审方法和标准</w:t>
      </w:r>
    </w:p>
    <w:p w14:paraId="44B6FC0A">
      <w:pPr>
        <w:tabs>
          <w:tab w:val="left" w:pos="900"/>
        </w:tabs>
        <w:spacing w:line="360" w:lineRule="auto"/>
        <w:ind w:firstLine="420" w:firstLineChars="200"/>
        <w:rPr>
          <w:rFonts w:hint="eastAsia" w:ascii="宋体" w:hAnsi="宋体" w:eastAsia="宋体" w:cs="宋体"/>
          <w:color w:val="000000"/>
          <w:szCs w:val="21"/>
        </w:rPr>
      </w:pPr>
      <w:bookmarkStart w:id="121" w:name="_Toc513029235"/>
      <w:bookmarkStart w:id="122" w:name="_Toc20823307"/>
      <w:bookmarkStart w:id="123" w:name="_Toc16938551"/>
      <w:r>
        <w:rPr>
          <w:rFonts w:hint="eastAsia" w:ascii="宋体" w:hAnsi="宋体" w:eastAsia="宋体" w:cs="宋体"/>
          <w:color w:val="000000"/>
          <w:szCs w:val="21"/>
        </w:rPr>
        <w:t>6.1磋商程序</w:t>
      </w:r>
    </w:p>
    <w:p w14:paraId="2C8C641B">
      <w:pPr>
        <w:tabs>
          <w:tab w:val="left" w:pos="900"/>
        </w:tabs>
        <w:spacing w:line="360" w:lineRule="auto"/>
        <w:ind w:firstLine="404" w:firstLineChars="200"/>
        <w:rPr>
          <w:rFonts w:hint="eastAsia" w:ascii="宋体" w:hAnsi="宋体" w:eastAsia="宋体" w:cs="宋体"/>
          <w:color w:val="000000"/>
          <w:spacing w:val="-4"/>
          <w:szCs w:val="21"/>
        </w:rPr>
      </w:pPr>
      <w:r>
        <w:rPr>
          <w:rFonts w:hint="eastAsia" w:ascii="宋体" w:hAnsi="宋体" w:eastAsia="宋体" w:cs="宋体"/>
          <w:color w:val="000000"/>
          <w:spacing w:val="-4"/>
          <w:szCs w:val="21"/>
        </w:rPr>
        <w:t>6.1.1 对于通过资格性和符合性审查的供应商，磋商小组所有成员将集中与单一供应商分别进行磋商。</w:t>
      </w:r>
    </w:p>
    <w:p w14:paraId="106B932D">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4C5C0E67">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 6.1.2 磋商文件能够详细列明采购标的的技术、服务要求的，磋商结束后，磋商小组将要求所有实质性响应的供应商在规定时间内提交最后报价。</w:t>
      </w:r>
    </w:p>
    <w:p w14:paraId="1871F39F">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34DF3752">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6515A9BF">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73DE7D37">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6.2 评审方法和标准</w:t>
      </w:r>
    </w:p>
    <w:p w14:paraId="565BAE3B">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6.2.1评审方法。经磋商确定最终采购需求和提交最后报价的供应商后，由磋商小组采用综合评分法对提交最后报价的供应商的响应文件和最后报价进行综合评分。</w:t>
      </w:r>
    </w:p>
    <w:p w14:paraId="1AB604D2">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27862705">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6.2.2评审标准</w:t>
      </w:r>
    </w:p>
    <w:p w14:paraId="1FD28014">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见本磋商文件第五章规定。</w:t>
      </w:r>
    </w:p>
    <w:p w14:paraId="6ABF731D">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6.3采购活动终止的情况</w:t>
      </w:r>
    </w:p>
    <w:p w14:paraId="7FFE6C1D">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出现下列情形之一的，本次竞争性磋商采购活动将被终止：</w:t>
      </w:r>
    </w:p>
    <w:p w14:paraId="773177C8">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（1）因情况变化，不再符合规定的竞争性磋商采购方式适用情形的；</w:t>
      </w:r>
    </w:p>
    <w:p w14:paraId="7FEBCB80">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（2）出现影响采购公正的违法、违规行为的；</w:t>
      </w:r>
    </w:p>
    <w:p w14:paraId="7643A3EE">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（3）除本磋商文件第6.1.2条第三款规定的情形外，在采购过程中符合要求的供应商或者报价未超过采购预算的供应商不足3家的。</w:t>
      </w:r>
    </w:p>
    <w:bookmarkEnd w:id="121"/>
    <w:bookmarkEnd w:id="122"/>
    <w:bookmarkEnd w:id="123"/>
    <w:p w14:paraId="2BDA1B06">
      <w:pPr>
        <w:tabs>
          <w:tab w:val="left" w:pos="900"/>
        </w:tabs>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五、成交</w:t>
      </w:r>
    </w:p>
    <w:p w14:paraId="042CB209">
      <w:pPr>
        <w:tabs>
          <w:tab w:val="left" w:pos="900"/>
        </w:tabs>
        <w:spacing w:line="360" w:lineRule="auto"/>
        <w:ind w:firstLine="420" w:firstLineChars="200"/>
        <w:rPr>
          <w:rFonts w:hint="eastAsia" w:ascii="宋体" w:hAnsi="宋体" w:eastAsia="宋体" w:cs="宋体"/>
          <w:color w:val="000000"/>
          <w:szCs w:val="21"/>
        </w:rPr>
      </w:pPr>
      <w:bookmarkStart w:id="124" w:name="_Toc513029238"/>
      <w:bookmarkStart w:id="125" w:name="_Toc20823310"/>
      <w:bookmarkStart w:id="126" w:name="_Toc16938554"/>
      <w:r>
        <w:rPr>
          <w:rFonts w:hint="eastAsia" w:ascii="宋体" w:hAnsi="宋体" w:eastAsia="宋体" w:cs="宋体"/>
          <w:color w:val="000000"/>
          <w:szCs w:val="21"/>
        </w:rPr>
        <w:t>1、</w:t>
      </w:r>
      <w:bookmarkEnd w:id="124"/>
      <w:r>
        <w:rPr>
          <w:rFonts w:hint="eastAsia" w:ascii="宋体" w:hAnsi="宋体" w:eastAsia="宋体" w:cs="宋体"/>
          <w:color w:val="000000"/>
          <w:szCs w:val="21"/>
        </w:rPr>
        <w:t>确定</w:t>
      </w:r>
      <w:bookmarkEnd w:id="125"/>
      <w:bookmarkEnd w:id="126"/>
      <w:r>
        <w:rPr>
          <w:rFonts w:hint="eastAsia" w:ascii="宋体" w:hAnsi="宋体" w:eastAsia="宋体" w:cs="宋体"/>
          <w:color w:val="000000"/>
          <w:szCs w:val="21"/>
        </w:rPr>
        <w:t>成交单位</w:t>
      </w:r>
    </w:p>
    <w:p w14:paraId="52A7383C">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351681D9">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1.2采购人根据磋商小组推荐的成交候选人确定成交供应商。采购人确定成交供应商后，代理机构将在“</w:t>
      </w:r>
      <w:r>
        <w:rPr>
          <w:rFonts w:hint="eastAsia" w:ascii="宋体" w:hAnsi="宋体" w:eastAsia="宋体" w:cs="宋体"/>
          <w:u w:val="none"/>
        </w:rPr>
        <w:t>扬州市公共资源交易平台邗江分中心国企采购栏目</w:t>
      </w:r>
      <w:r>
        <w:rPr>
          <w:rFonts w:hint="eastAsia" w:ascii="宋体" w:hAnsi="宋体" w:eastAsia="宋体" w:cs="宋体"/>
          <w:color w:val="000000"/>
          <w:szCs w:val="21"/>
          <w:u w:val="none"/>
          <w:lang w:eastAsia="zh-CN"/>
        </w:rPr>
        <w:t>、扬州维扬发展投资有限公司网站</w:t>
      </w:r>
      <w:r>
        <w:rPr>
          <w:rFonts w:hint="eastAsia" w:ascii="宋体" w:hAnsi="宋体" w:eastAsia="宋体" w:cs="宋体"/>
          <w:color w:val="000000"/>
          <w:szCs w:val="21"/>
        </w:rPr>
        <w:t>”发布成交结果公告，公告期限为1个工作日。</w:t>
      </w:r>
    </w:p>
    <w:p w14:paraId="57888308">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1.3若有充分证据证明，成交供应商出现下列情况之一的，一经查实，将被取消成交资格：</w:t>
      </w:r>
    </w:p>
    <w:p w14:paraId="25D9FAC2">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（1）提供虚假材料谋取成交的；</w:t>
      </w:r>
    </w:p>
    <w:p w14:paraId="2310ABFE">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（2）与评审专家、采购人、其他供应商或者代理机构工作人员恶意串通的；</w:t>
      </w:r>
    </w:p>
    <w:p w14:paraId="4C38C370">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（3）向评审专家、采购人或代理机构工作人员行贿或者提供其他不正当利益的；</w:t>
      </w:r>
    </w:p>
    <w:p w14:paraId="255047C2">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（4）恶意竞争，最终总报价明显低于其自身合理成本且又无法提供证明的；</w:t>
      </w:r>
    </w:p>
    <w:p w14:paraId="65AD48AD">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（5）不满足本磋商文件规定的实质性要求，但在评审过程中又未被磋商小组发现的；</w:t>
      </w:r>
    </w:p>
    <w:p w14:paraId="60DC3F0D">
      <w:pPr>
        <w:tabs>
          <w:tab w:val="left" w:pos="900"/>
        </w:tabs>
        <w:spacing w:line="360" w:lineRule="auto"/>
        <w:ind w:firstLine="396"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（6）成交后无正当理由拒不与采购人签订采购合同或者未按照磋商文件确定的事项签订合同；</w:t>
      </w:r>
    </w:p>
    <w:p w14:paraId="55F5A8D3">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（7）将合同转包；</w:t>
      </w:r>
    </w:p>
    <w:p w14:paraId="175287C9">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（8）法律、法规、规章规定的属于成交无效的其他情形。</w:t>
      </w:r>
    </w:p>
    <w:p w14:paraId="33665E26">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2、质疑处理</w:t>
      </w:r>
    </w:p>
    <w:p w14:paraId="055809D8">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2.1磋商供应商认为磋商文件、采购过程和中标或成交结果使自己的权益受到损害的，可以在知道或应知其权益受到损害之日起七个工作日内，以书面形式向采购人或代理机构提出质疑。</w:t>
      </w:r>
    </w:p>
    <w:p w14:paraId="1672E9F6">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2.1.1对可以质疑的磋商文件提出质疑的，应当在获取磋商文件之日或者磋商文件公告期限届满之日起7个工作日内提出。</w:t>
      </w:r>
      <w:r>
        <w:rPr>
          <w:rFonts w:hint="eastAsia" w:ascii="宋体" w:hAnsi="宋体" w:eastAsia="宋体" w:cs="宋体"/>
          <w:color w:val="000000"/>
          <w:szCs w:val="21"/>
        </w:rPr>
        <w:br w:type="textWrapping" w:clear="all"/>
      </w:r>
      <w:r>
        <w:rPr>
          <w:rFonts w:hint="eastAsia" w:ascii="宋体" w:hAnsi="宋体" w:eastAsia="宋体" w:cs="宋体"/>
          <w:color w:val="000000"/>
          <w:szCs w:val="21"/>
        </w:rPr>
        <w:t>　　2.1.2对采购过程提出质疑的，为各采购程序环节结束之日起7个工作日内提出。</w:t>
      </w:r>
      <w:r>
        <w:rPr>
          <w:rFonts w:hint="eastAsia" w:ascii="宋体" w:hAnsi="宋体" w:eastAsia="宋体" w:cs="宋体"/>
          <w:color w:val="000000"/>
          <w:szCs w:val="21"/>
        </w:rPr>
        <w:br w:type="textWrapping" w:clear="all"/>
      </w:r>
      <w:r>
        <w:rPr>
          <w:rFonts w:hint="eastAsia" w:ascii="宋体" w:hAnsi="宋体" w:eastAsia="宋体" w:cs="宋体"/>
          <w:color w:val="000000"/>
          <w:szCs w:val="21"/>
        </w:rPr>
        <w:t>　　2.1.3对成交结果提出质疑的，为成交结果公告期限届满之日起7个工作日内提出。</w:t>
      </w:r>
    </w:p>
    <w:p w14:paraId="459D52A8">
      <w:pPr>
        <w:spacing w:line="360" w:lineRule="auto"/>
        <w:ind w:firstLine="420" w:firstLineChars="200"/>
        <w:rPr>
          <w:rFonts w:hint="eastAsia" w:ascii="宋体" w:hAnsi="宋体" w:eastAsia="宋体" w:cs="宋体"/>
          <w:snapToGrid w:val="0"/>
          <w:color w:val="000000"/>
          <w:szCs w:val="21"/>
        </w:rPr>
      </w:pPr>
      <w:r>
        <w:rPr>
          <w:rFonts w:hint="eastAsia" w:ascii="宋体" w:hAnsi="宋体" w:eastAsia="宋体" w:cs="宋体"/>
          <w:color w:val="000000"/>
          <w:szCs w:val="21"/>
        </w:rPr>
        <w:t>2.2质疑供应商应在法定质疑期内一次性提出针对同一采购程序环节的质疑。质疑必须按《政府采购法》、《政府采购法实施条例》及《政府采购质疑和投诉办法》等相关规定提交</w:t>
      </w:r>
      <w:r>
        <w:rPr>
          <w:rFonts w:hint="eastAsia" w:ascii="宋体" w:hAnsi="宋体" w:eastAsia="宋体" w:cs="宋体"/>
          <w:color w:val="000000"/>
          <w:spacing w:val="-20"/>
          <w:szCs w:val="21"/>
        </w:rPr>
        <w:t>。</w:t>
      </w:r>
    </w:p>
    <w:p w14:paraId="53934D73">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2.3提出质疑的供应商（以下简称质疑供应商）应当是参与所质疑项目采购活动的供应商。未参加磋商采购活动的供应商或在磋商采购活动中自身权益未受到损害的供应商所提出的质疑不予受理。</w:t>
      </w:r>
    </w:p>
    <w:p w14:paraId="1AED56FC">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质疑必须由磋商供应商法定代表人或授权代表（响应文件中所确定的）以原件送达的方式提交，未按上述要求提交的质疑函（含传真、电子邮件等）代理机构有权不予受理。</w:t>
      </w:r>
    </w:p>
    <w:p w14:paraId="04031904">
      <w:pPr>
        <w:spacing w:line="360" w:lineRule="auto"/>
        <w:ind w:firstLine="409" w:firstLineChars="195"/>
        <w:rPr>
          <w:rFonts w:hint="eastAsia" w:ascii="宋体" w:hAnsi="宋体" w:eastAsia="宋体" w:cs="宋体"/>
          <w:color w:val="000000"/>
          <w:kern w:val="0"/>
          <w:szCs w:val="21"/>
        </w:rPr>
      </w:pPr>
      <w:r>
        <w:rPr>
          <w:rFonts w:hint="eastAsia" w:ascii="宋体" w:hAnsi="宋体" w:eastAsia="宋体" w:cs="宋体"/>
          <w:color w:val="000000"/>
          <w:szCs w:val="21"/>
        </w:rPr>
        <w:t>潜在供应商已依法获取其可质疑的采购文件的，可以对该文件提出质疑。对采购文件提出质疑的，应当在获取采购文件或者采购文件公告期限届满之日起7个工作日内提出。</w:t>
      </w:r>
    </w:p>
    <w:p w14:paraId="73274402">
      <w:pPr>
        <w:spacing w:line="360" w:lineRule="auto"/>
        <w:ind w:firstLine="409" w:firstLineChars="195"/>
        <w:rPr>
          <w:rFonts w:hint="eastAsia" w:ascii="宋体" w:hAnsi="宋体" w:eastAsia="宋体" w:cs="宋体"/>
          <w:color w:val="000000"/>
          <w:szCs w:val="21"/>
        </w:rPr>
      </w:pPr>
      <w:r>
        <w:rPr>
          <w:rFonts w:hint="eastAsia" w:ascii="宋体" w:hAnsi="宋体" w:eastAsia="宋体" w:cs="宋体"/>
          <w:color w:val="000000"/>
          <w:szCs w:val="21"/>
        </w:rPr>
        <w:t>2.4供应商提出质疑应当提交质疑函和必要的证明材料。质疑函应当包括下列内容：</w:t>
      </w:r>
    </w:p>
    <w:p w14:paraId="6EE5D7FE">
      <w:pPr>
        <w:spacing w:line="360" w:lineRule="auto"/>
        <w:rPr>
          <w:rFonts w:hint="eastAsia" w:ascii="宋体" w:hAnsi="宋体" w:eastAsia="宋体" w:cs="宋体"/>
          <w:color w:val="000000"/>
          <w:szCs w:val="21"/>
        </w:rPr>
      </w:pPr>
      <w:r>
        <w:rPr>
          <w:rFonts w:hint="eastAsia" w:ascii="宋体" w:hAnsi="宋体" w:eastAsia="宋体" w:cs="宋体"/>
          <w:color w:val="000000"/>
          <w:szCs w:val="21"/>
        </w:rPr>
        <w:t>　　2.4.1质疑供应商的姓名或者名称、地址、邮编、联系人及联系电话；</w:t>
      </w:r>
    </w:p>
    <w:p w14:paraId="7C3336C3">
      <w:pPr>
        <w:spacing w:line="360" w:lineRule="auto"/>
        <w:rPr>
          <w:rFonts w:hint="eastAsia" w:ascii="宋体" w:hAnsi="宋体" w:eastAsia="宋体" w:cs="宋体"/>
          <w:color w:val="000000"/>
          <w:szCs w:val="21"/>
        </w:rPr>
      </w:pPr>
      <w:r>
        <w:rPr>
          <w:rFonts w:hint="eastAsia" w:ascii="宋体" w:hAnsi="宋体" w:eastAsia="宋体" w:cs="宋体"/>
          <w:color w:val="000000"/>
          <w:szCs w:val="21"/>
        </w:rPr>
        <w:t>　　2.4.2质疑项目的名称、编号；</w:t>
      </w:r>
    </w:p>
    <w:p w14:paraId="7511DBF6">
      <w:pPr>
        <w:spacing w:line="360" w:lineRule="auto"/>
        <w:rPr>
          <w:rFonts w:hint="eastAsia" w:ascii="宋体" w:hAnsi="宋体" w:eastAsia="宋体" w:cs="宋体"/>
          <w:color w:val="000000"/>
          <w:szCs w:val="21"/>
        </w:rPr>
      </w:pPr>
      <w:r>
        <w:rPr>
          <w:rFonts w:hint="eastAsia" w:ascii="宋体" w:hAnsi="宋体" w:eastAsia="宋体" w:cs="宋体"/>
          <w:color w:val="000000"/>
          <w:szCs w:val="21"/>
        </w:rPr>
        <w:t>　　2.4.3具体、明确的质疑事项和与质疑事项相关的请求；</w:t>
      </w:r>
    </w:p>
    <w:p w14:paraId="322F715F">
      <w:pPr>
        <w:spacing w:line="360" w:lineRule="auto"/>
        <w:rPr>
          <w:rFonts w:hint="eastAsia" w:ascii="宋体" w:hAnsi="宋体" w:eastAsia="宋体" w:cs="宋体"/>
          <w:color w:val="000000"/>
          <w:szCs w:val="21"/>
        </w:rPr>
      </w:pPr>
      <w:r>
        <w:rPr>
          <w:rFonts w:hint="eastAsia" w:ascii="宋体" w:hAnsi="宋体" w:eastAsia="宋体" w:cs="宋体"/>
          <w:color w:val="000000"/>
          <w:szCs w:val="21"/>
        </w:rPr>
        <w:t>　　2.4.4事实依据；</w:t>
      </w:r>
    </w:p>
    <w:p w14:paraId="03D3264A">
      <w:pPr>
        <w:spacing w:line="360" w:lineRule="auto"/>
        <w:rPr>
          <w:rFonts w:hint="eastAsia" w:ascii="宋体" w:hAnsi="宋体" w:eastAsia="宋体" w:cs="宋体"/>
          <w:color w:val="000000"/>
          <w:szCs w:val="21"/>
        </w:rPr>
      </w:pPr>
      <w:r>
        <w:rPr>
          <w:rFonts w:hint="eastAsia" w:ascii="宋体" w:hAnsi="宋体" w:eastAsia="宋体" w:cs="宋体"/>
          <w:color w:val="000000"/>
          <w:szCs w:val="21"/>
        </w:rPr>
        <w:t>　　2.4.5必要的法律依据；</w:t>
      </w:r>
    </w:p>
    <w:p w14:paraId="2952641D">
      <w:pPr>
        <w:spacing w:line="360" w:lineRule="auto"/>
        <w:rPr>
          <w:rFonts w:hint="eastAsia" w:ascii="宋体" w:hAnsi="宋体" w:eastAsia="宋体" w:cs="宋体"/>
          <w:color w:val="000000"/>
          <w:szCs w:val="21"/>
        </w:rPr>
      </w:pPr>
      <w:r>
        <w:rPr>
          <w:rFonts w:hint="eastAsia" w:ascii="宋体" w:hAnsi="宋体" w:eastAsia="宋体" w:cs="宋体"/>
          <w:color w:val="000000"/>
          <w:szCs w:val="21"/>
        </w:rPr>
        <w:t>　　2.4.6提出质疑的日期。</w:t>
      </w:r>
    </w:p>
    <w:p w14:paraId="6D546D0B">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质疑函应当署名：质疑人为自然人的，应当由本人签字并附有效身份证明；质疑人为法人或者其他组织的，应当由法定代表人签字并加盖单位公章。质疑人委托代理质疑的，应当向代理机构提交授权委托书，并载明委托代理的具体权限和事项。</w:t>
      </w:r>
    </w:p>
    <w:p w14:paraId="1486FEA6">
      <w:pPr>
        <w:spacing w:line="360" w:lineRule="auto"/>
        <w:ind w:firstLine="409" w:firstLineChars="195"/>
        <w:rPr>
          <w:rFonts w:hint="eastAsia" w:ascii="宋体" w:hAnsi="宋体" w:eastAsia="宋体" w:cs="宋体"/>
          <w:snapToGrid w:val="0"/>
          <w:color w:val="000000"/>
          <w:szCs w:val="21"/>
        </w:rPr>
      </w:pPr>
      <w:r>
        <w:rPr>
          <w:rFonts w:hint="eastAsia" w:ascii="宋体" w:hAnsi="宋体" w:eastAsia="宋体" w:cs="宋体"/>
          <w:snapToGrid w:val="0"/>
          <w:color w:val="000000"/>
          <w:szCs w:val="21"/>
        </w:rPr>
        <w:t>《质疑函》及《授权委托书》格式见网址：http://zfcg.yangzhou.gov.cn</w:t>
      </w:r>
    </w:p>
    <w:p w14:paraId="08096081">
      <w:pPr>
        <w:spacing w:line="360" w:lineRule="auto"/>
        <w:ind w:firstLine="409" w:firstLineChars="195"/>
        <w:rPr>
          <w:rFonts w:hint="eastAsia" w:ascii="宋体" w:hAnsi="宋体" w:eastAsia="宋体" w:cs="宋体"/>
          <w:color w:val="000000"/>
          <w:szCs w:val="21"/>
        </w:rPr>
      </w:pPr>
      <w:r>
        <w:rPr>
          <w:rFonts w:hint="eastAsia" w:ascii="宋体" w:hAnsi="宋体" w:eastAsia="宋体" w:cs="宋体"/>
          <w:color w:val="000000"/>
          <w:szCs w:val="21"/>
        </w:rPr>
        <w:t>2.5代理机构收到质疑申请后，将对质疑的形式和内容进行审查，如质疑函内容、格式不符合规定，代理机构将告知质疑人进行补正。</w:t>
      </w:r>
    </w:p>
    <w:p w14:paraId="245F574B">
      <w:pPr>
        <w:spacing w:line="360" w:lineRule="auto"/>
        <w:ind w:firstLine="409" w:firstLineChars="195"/>
        <w:rPr>
          <w:rFonts w:hint="eastAsia" w:ascii="宋体" w:hAnsi="宋体" w:eastAsia="宋体" w:cs="宋体"/>
          <w:color w:val="000000"/>
          <w:szCs w:val="21"/>
        </w:rPr>
      </w:pPr>
      <w:r>
        <w:rPr>
          <w:rFonts w:hint="eastAsia" w:ascii="宋体" w:hAnsi="宋体" w:eastAsia="宋体" w:cs="宋体"/>
          <w:color w:val="000000"/>
          <w:szCs w:val="21"/>
        </w:rPr>
        <w:t>2.6质疑人应当在法定质疑期限内进行补正并重新提交质疑函，拒不补正或者在法定期限内未重新提交质疑函的，为无效质疑，代理机构有权不予受理。</w:t>
      </w:r>
    </w:p>
    <w:p w14:paraId="13A8006E">
      <w:pPr>
        <w:spacing w:line="360" w:lineRule="auto"/>
        <w:ind w:firstLine="409" w:firstLineChars="195"/>
        <w:rPr>
          <w:rFonts w:hint="eastAsia" w:ascii="宋体" w:hAnsi="宋体" w:eastAsia="宋体" w:cs="宋体"/>
          <w:color w:val="000000"/>
          <w:szCs w:val="21"/>
        </w:rPr>
      </w:pPr>
      <w:r>
        <w:rPr>
          <w:rFonts w:hint="eastAsia" w:ascii="宋体" w:hAnsi="宋体" w:eastAsia="宋体" w:cs="宋体"/>
          <w:color w:val="000000"/>
          <w:szCs w:val="21"/>
        </w:rPr>
        <w:t>2.7对于内容、格式符合规定的质疑函，代理机构将在收到参加磋商供应商的书面质疑后七个工作日内作出答复，并以书面形式通知质疑供应商和其他相关供应商，答复的内容不涉及商业秘密。</w:t>
      </w:r>
    </w:p>
    <w:p w14:paraId="33DAF586">
      <w:pPr>
        <w:spacing w:line="360" w:lineRule="auto"/>
        <w:ind w:firstLine="409" w:firstLineChars="195"/>
        <w:rPr>
          <w:rFonts w:hint="eastAsia" w:ascii="宋体" w:hAnsi="宋体" w:eastAsia="宋体" w:cs="宋体"/>
          <w:color w:val="000000"/>
          <w:szCs w:val="21"/>
        </w:rPr>
      </w:pPr>
      <w:r>
        <w:rPr>
          <w:rFonts w:hint="eastAsia" w:ascii="宋体" w:hAnsi="宋体" w:eastAsia="宋体" w:cs="宋体"/>
          <w:color w:val="000000"/>
          <w:szCs w:val="21"/>
        </w:rPr>
        <w:t>2.8供应商提出书面质疑必须有理、有据，不得恶意质疑或提交虚假质疑。否则，一经查实，代理机构有权依据有关规定，报请监管部门对该供应商进行相应的行政处罚。</w:t>
      </w:r>
    </w:p>
    <w:p w14:paraId="68248CB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2.9诚实信用</w:t>
      </w:r>
    </w:p>
    <w:p w14:paraId="353BB4D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2.9.1 供应商之间不得相互串通投标报价，不得妨碍其他供应商的公平竞争，不得损害采购人和其他供应商的合法权益。</w:t>
      </w:r>
    </w:p>
    <w:p w14:paraId="7462E9DD">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2.9.2 供应商不得以向代理机构工作人员、评标委员会成员行贿或者采取其他不正当手段谋取中标。经查实供应商有此行为的，管理部门将供应商列入不良行为记录名单，按照《政府采购法》有关规定处理。</w:t>
      </w:r>
    </w:p>
    <w:p w14:paraId="66973570">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2.9.3 供应商提出书面质疑必须有理、有据，不得虚假质疑和恶意质疑，并对质疑内容的真实性承担责任。一经查实，代理机构有权依据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52A8715D">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2.9.4 供应商不得虚假承诺，否则，按照提供虚假材料谋取中标成交处理。</w:t>
      </w:r>
    </w:p>
    <w:p w14:paraId="4F473116">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2.9.5 供应商应自觉遵守开标、评标纪律，扰乱开标评标现场秩序的，属于失信行为，失信行为将被记入供应商诚信档案。</w:t>
      </w:r>
    </w:p>
    <w:p w14:paraId="02B27AF9">
      <w:pPr>
        <w:tabs>
          <w:tab w:val="left" w:pos="900"/>
        </w:tabs>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六、合同签订相关事项</w:t>
      </w:r>
    </w:p>
    <w:p w14:paraId="29CF6772">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1、签订合同</w:t>
      </w:r>
    </w:p>
    <w:p w14:paraId="0CCA384B">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l成交供应商确定后，代理机构将向成交供应商发出成交通知书。成交供应商应按成交通知书规定的时间、地点,按照磋商文件确定的事项与采购人签订合同，且不得迟于成交通知书发出之日起三十日内，否则视为放弃，由此给采购人造成损失的，成交供应商还应承担赔偿责任。</w:t>
      </w:r>
    </w:p>
    <w:p w14:paraId="75548C75">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 磋商文件、成交供应商的响应文件及磋商采购过程中有关澄清、承诺文件均应作为合同附件。</w:t>
      </w:r>
    </w:p>
    <w:p w14:paraId="5178BCCF">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1.3 签订合同后，</w:t>
      </w:r>
      <w:r>
        <w:rPr>
          <w:rFonts w:hint="eastAsia" w:ascii="宋体" w:hAnsi="宋体" w:eastAsia="宋体" w:cs="宋体"/>
          <w:i/>
          <w:color w:val="000000"/>
          <w:szCs w:val="21"/>
          <w:u w:val="single"/>
        </w:rPr>
        <w:t>成交供应商不得将成交工程或服务进行转包。</w:t>
      </w:r>
      <w:r>
        <w:rPr>
          <w:rFonts w:hint="eastAsia" w:ascii="宋体" w:hAnsi="宋体" w:eastAsia="宋体" w:cs="宋体"/>
          <w:color w:val="000000"/>
          <w:szCs w:val="21"/>
        </w:rPr>
        <w:t>未经采购人同意，成交供应商也不得采用分包的形式履行合同，否则采购人有权终止合同。转包或分包造成采购人损失的，成交供应商应承担相应赔偿责任。</w:t>
      </w:r>
    </w:p>
    <w:p w14:paraId="5A4B8CE7">
      <w:pPr>
        <w:tabs>
          <w:tab w:val="left" w:pos="90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2、履约保证金：无</w:t>
      </w:r>
    </w:p>
    <w:p w14:paraId="3307F81E">
      <w:pPr>
        <w:sectPr>
          <w:headerReference r:id="rId7" w:type="first"/>
          <w:footerReference r:id="rId9" w:type="first"/>
          <w:headerReference r:id="rId6" w:type="default"/>
          <w:footerReference r:id="rId8" w:type="default"/>
          <w:pgSz w:w="11850" w:h="16783"/>
          <w:pgMar w:top="1440" w:right="1080" w:bottom="1440" w:left="1080" w:header="850" w:footer="850" w:gutter="0"/>
          <w:pgNumType w:fmt="decimal" w:start="1"/>
          <w:cols w:space="720" w:num="1"/>
        </w:sectPr>
      </w:pPr>
    </w:p>
    <w:bookmarkEnd w:id="40"/>
    <w:bookmarkEnd w:id="41"/>
    <w:bookmarkEnd w:id="42"/>
    <w:p w14:paraId="0F08E9C4">
      <w:pPr>
        <w:pStyle w:val="11"/>
        <w:numPr>
          <w:ilvl w:val="0"/>
          <w:numId w:val="6"/>
        </w:numPr>
        <w:spacing w:before="0" w:after="0" w:line="360" w:lineRule="auto"/>
        <w:jc w:val="center"/>
        <w:rPr>
          <w:rFonts w:hint="eastAsia" w:ascii="宋体" w:hAnsi="宋体" w:eastAsia="宋体" w:cs="Arial"/>
          <w:bCs/>
          <w:sz w:val="36"/>
          <w:szCs w:val="36"/>
        </w:rPr>
      </w:pPr>
      <w:r>
        <w:rPr>
          <w:rFonts w:hint="eastAsia" w:ascii="宋体" w:hAnsi="宋体" w:eastAsia="宋体" w:cs="Arial"/>
          <w:bCs/>
          <w:sz w:val="36"/>
          <w:szCs w:val="36"/>
        </w:rPr>
        <w:t>合同条款及格式</w:t>
      </w:r>
    </w:p>
    <w:p w14:paraId="043E6CE4">
      <w:pPr>
        <w:keepNext w:val="0"/>
        <w:keepLines w:val="0"/>
        <w:pageBreakBefore w:val="0"/>
        <w:widowControl w:val="0"/>
        <w:kinsoku/>
        <w:wordWrap/>
        <w:overflowPunct/>
        <w:topLinePunct w:val="0"/>
        <w:bidi w:val="0"/>
        <w:spacing w:before="143" w:after="143" w:line="400" w:lineRule="exact"/>
        <w:jc w:val="center"/>
        <w:rPr>
          <w:rFonts w:hint="eastAsia" w:ascii="宋体" w:hAnsi="宋体"/>
          <w:b/>
          <w:color w:val="000000"/>
          <w:kern w:val="0"/>
          <w:szCs w:val="21"/>
        </w:rPr>
      </w:pPr>
      <w:bookmarkStart w:id="127" w:name="_Toc5978"/>
      <w:r>
        <w:rPr>
          <w:rFonts w:hint="eastAsia" w:ascii="宋体" w:hAnsi="宋体"/>
          <w:b/>
          <w:color w:val="000000"/>
          <w:szCs w:val="21"/>
        </w:rPr>
        <w:t>采购合同（服务）</w:t>
      </w:r>
      <w:bookmarkEnd w:id="127"/>
    </w:p>
    <w:p w14:paraId="60631B7C">
      <w:pPr>
        <w:keepNext w:val="0"/>
        <w:keepLines w:val="0"/>
        <w:pageBreakBefore w:val="0"/>
        <w:widowControl w:val="0"/>
        <w:kinsoku/>
        <w:wordWrap/>
        <w:overflowPunct/>
        <w:topLinePunct w:val="0"/>
        <w:bidi w:val="0"/>
        <w:spacing w:line="360" w:lineRule="auto"/>
        <w:ind w:left="0" w:leftChars="0"/>
        <w:jc w:val="center"/>
        <w:outlineLvl w:val="0"/>
        <w:rPr>
          <w:rFonts w:hint="eastAsia" w:ascii="宋体" w:hAnsi="宋体"/>
          <w:b/>
          <w:bCs/>
          <w:color w:val="000000"/>
          <w:szCs w:val="21"/>
        </w:rPr>
      </w:pPr>
    </w:p>
    <w:p w14:paraId="31AB2F33">
      <w:pPr>
        <w:pStyle w:val="26"/>
        <w:keepNext w:val="0"/>
        <w:keepLines w:val="0"/>
        <w:pageBreakBefore w:val="0"/>
        <w:widowControl w:val="0"/>
        <w:kinsoku/>
        <w:wordWrap/>
        <w:overflowPunct/>
        <w:topLinePunct w:val="0"/>
        <w:bidi w:val="0"/>
        <w:spacing w:line="360" w:lineRule="auto"/>
        <w:ind w:left="0" w:leftChars="0"/>
        <w:rPr>
          <w:rFonts w:hAnsi="宋体"/>
          <w:color w:val="000000"/>
        </w:rPr>
      </w:pPr>
      <w:r>
        <w:rPr>
          <w:rFonts w:hAnsi="宋体"/>
          <w:color w:val="000000"/>
        </w:rPr>
        <w:t xml:space="preserve">项目名称：                   </w:t>
      </w:r>
    </w:p>
    <w:p w14:paraId="798AF8BD">
      <w:pPr>
        <w:pStyle w:val="26"/>
        <w:keepNext w:val="0"/>
        <w:keepLines w:val="0"/>
        <w:pageBreakBefore w:val="0"/>
        <w:widowControl w:val="0"/>
        <w:kinsoku/>
        <w:wordWrap/>
        <w:overflowPunct/>
        <w:topLinePunct w:val="0"/>
        <w:bidi w:val="0"/>
        <w:spacing w:line="360" w:lineRule="auto"/>
        <w:ind w:left="0" w:leftChars="0"/>
        <w:rPr>
          <w:rFonts w:hAnsi="宋体"/>
          <w:color w:val="000000"/>
        </w:rPr>
      </w:pPr>
      <w:r>
        <w:rPr>
          <w:rFonts w:hAnsi="宋体"/>
          <w:color w:val="000000"/>
        </w:rPr>
        <w:t>甲方（采购人/买方）：</w:t>
      </w:r>
      <w:r>
        <w:rPr>
          <w:rFonts w:hint="eastAsia" w:ascii="宋体" w:hAnsi="宋体" w:eastAsia="宋体" w:cs="宋体"/>
          <w:lang w:eastAsia="zh-CN"/>
        </w:rPr>
        <w:t>扬州维投经营管理有限公司</w:t>
      </w:r>
      <w:r>
        <w:rPr>
          <w:rFonts w:hAnsi="宋体"/>
          <w:color w:val="000000"/>
        </w:rPr>
        <w:t xml:space="preserve">         </w:t>
      </w:r>
    </w:p>
    <w:p w14:paraId="067D8E32">
      <w:pPr>
        <w:pStyle w:val="26"/>
        <w:keepNext w:val="0"/>
        <w:keepLines w:val="0"/>
        <w:pageBreakBefore w:val="0"/>
        <w:widowControl w:val="0"/>
        <w:kinsoku/>
        <w:wordWrap/>
        <w:overflowPunct/>
        <w:topLinePunct w:val="0"/>
        <w:bidi w:val="0"/>
        <w:spacing w:line="360" w:lineRule="auto"/>
        <w:ind w:left="0" w:leftChars="0"/>
        <w:rPr>
          <w:rFonts w:hAnsi="宋体"/>
          <w:color w:val="000000"/>
          <w:u w:val="single"/>
        </w:rPr>
      </w:pPr>
      <w:r>
        <w:rPr>
          <w:rFonts w:hAnsi="宋体"/>
          <w:color w:val="000000"/>
        </w:rPr>
        <w:t>乙方（供应商/卖方）：</w:t>
      </w:r>
      <w:r>
        <w:rPr>
          <w:rFonts w:hAnsi="宋体"/>
          <w:color w:val="000000"/>
          <w:u w:val="single"/>
        </w:rPr>
        <w:t xml:space="preserve">              </w:t>
      </w:r>
    </w:p>
    <w:p w14:paraId="2A63A1EC">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根据</w:t>
      </w:r>
      <w:r>
        <w:rPr>
          <w:rFonts w:hint="eastAsia" w:hAnsi="宋体"/>
          <w:color w:val="000000"/>
        </w:rPr>
        <w:t>《中华人民共和国民法典》</w:t>
      </w:r>
      <w:r>
        <w:rPr>
          <w:rFonts w:hAnsi="宋体"/>
          <w:color w:val="000000"/>
        </w:rPr>
        <w:t>等法律法规的规定，甲乙双方关于本项目磋商结果签订本合同。</w:t>
      </w:r>
    </w:p>
    <w:p w14:paraId="42708F70">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1、合同标的</w:t>
      </w:r>
    </w:p>
    <w:p w14:paraId="1B76649A">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乙方根据甲方需求，提供下列服务：</w:t>
      </w:r>
      <w:r>
        <w:rPr>
          <w:rFonts w:hAnsi="宋体"/>
          <w:color w:val="000000"/>
          <w:u w:val="single"/>
        </w:rPr>
        <w:t xml:space="preserve">                      </w:t>
      </w:r>
      <w:r>
        <w:rPr>
          <w:rFonts w:hAnsi="宋体"/>
          <w:color w:val="000000"/>
        </w:rPr>
        <w:t>。</w:t>
      </w:r>
    </w:p>
    <w:p w14:paraId="7B017021">
      <w:pPr>
        <w:pStyle w:val="26"/>
        <w:keepNext w:val="0"/>
        <w:keepLines w:val="0"/>
        <w:pageBreakBefore w:val="0"/>
        <w:widowControl w:val="0"/>
        <w:kinsoku/>
        <w:wordWrap/>
        <w:overflowPunct/>
        <w:topLinePunct w:val="0"/>
        <w:bidi w:val="0"/>
        <w:spacing w:line="360" w:lineRule="auto"/>
        <w:ind w:left="0" w:leftChars="0" w:firstLine="420" w:firstLineChars="200"/>
        <w:rPr>
          <w:rFonts w:hAnsi="宋体"/>
          <w:b/>
          <w:color w:val="000000"/>
        </w:rPr>
      </w:pPr>
      <w:r>
        <w:rPr>
          <w:rFonts w:hAnsi="宋体"/>
          <w:color w:val="000000"/>
        </w:rPr>
        <w:t>服务内容等要求详见竞争性磋商文件及响应文件。</w:t>
      </w:r>
    </w:p>
    <w:p w14:paraId="5E8E5F2B">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2、合同总金额</w:t>
      </w:r>
    </w:p>
    <w:p w14:paraId="1843F512">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2.1 本合同金额为（大写）：_______________________________元人民币（¥_____元）。</w:t>
      </w:r>
    </w:p>
    <w:p w14:paraId="63FA0C37">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2.2 本合同总金额包括乙方提供的服务及其他有关的为完成本项目发生的所有费用，竞争性磋商文件中另有规定的除外。</w:t>
      </w:r>
    </w:p>
    <w:p w14:paraId="40792FCB">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2.3 在竞争性磋商文件未列明，而乙方认为履行本合同必需的费用也包含在合同总金额中。</w:t>
      </w:r>
    </w:p>
    <w:p w14:paraId="36FD90A7">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2.4 本合同总金额还包含乙方提供的伴随服务/售后服务费用。</w:t>
      </w:r>
    </w:p>
    <w:p w14:paraId="041CA6F2">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3、组成本合同的有关文件</w:t>
      </w:r>
    </w:p>
    <w:p w14:paraId="6BAEBDB7">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3.1乙方应按竞争性磋商文件规定的时间向甲方提供服务的有关技术资料。</w:t>
      </w:r>
    </w:p>
    <w:p w14:paraId="375F4E38">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3.2 没有甲方事先书面同意，乙方不得将由甲方提供的有关合同或任何合同条文或资料提供给任何其他人。即使向履行本合同有关的人员提供，也应注意保密并限于履行合同的必需范围。</w:t>
      </w:r>
    </w:p>
    <w:p w14:paraId="0F46A518">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3.3 关于本项目的竞争性磋商文件、响应文件以及与本次采购活动方式相适应的文件及有关附件是本合同不可分割的组成部分，这些文件包括但不限于：</w:t>
      </w:r>
    </w:p>
    <w:p w14:paraId="5ACC0764">
      <w:pPr>
        <w:pStyle w:val="26"/>
        <w:keepNext w:val="0"/>
        <w:keepLines w:val="0"/>
        <w:pageBreakBefore w:val="0"/>
        <w:widowControl w:val="0"/>
        <w:kinsoku/>
        <w:wordWrap/>
        <w:overflowPunct/>
        <w:topLinePunct w:val="0"/>
        <w:bidi w:val="0"/>
        <w:spacing w:line="360" w:lineRule="auto"/>
        <w:ind w:left="359" w:leftChars="0" w:hanging="359" w:hangingChars="171"/>
        <w:rPr>
          <w:rFonts w:hAnsi="宋体"/>
          <w:color w:val="000000"/>
        </w:rPr>
      </w:pPr>
      <w:r>
        <w:rPr>
          <w:rFonts w:hAnsi="宋体"/>
          <w:color w:val="000000"/>
        </w:rPr>
        <w:t xml:space="preserve">   （1）磋商响应文件；               （2）磋商报价文件；</w:t>
      </w:r>
    </w:p>
    <w:p w14:paraId="45FFCC68">
      <w:pPr>
        <w:pStyle w:val="26"/>
        <w:keepNext w:val="0"/>
        <w:keepLines w:val="0"/>
        <w:pageBreakBefore w:val="0"/>
        <w:widowControl w:val="0"/>
        <w:kinsoku/>
        <w:wordWrap/>
        <w:overflowPunct/>
        <w:topLinePunct w:val="0"/>
        <w:bidi w:val="0"/>
        <w:spacing w:line="360" w:lineRule="auto"/>
        <w:ind w:left="359" w:leftChars="0" w:hanging="359" w:hangingChars="171"/>
        <w:rPr>
          <w:rFonts w:hAnsi="宋体"/>
          <w:color w:val="000000"/>
        </w:rPr>
      </w:pPr>
      <w:r>
        <w:rPr>
          <w:rFonts w:hAnsi="宋体"/>
          <w:color w:val="000000"/>
        </w:rPr>
        <w:t xml:space="preserve">   （3）项目组人员表                 （4）技术参数、商务条款响应及偏离表；</w:t>
      </w:r>
    </w:p>
    <w:p w14:paraId="1D0EAD7C">
      <w:pPr>
        <w:pStyle w:val="26"/>
        <w:keepNext w:val="0"/>
        <w:keepLines w:val="0"/>
        <w:pageBreakBefore w:val="0"/>
        <w:widowControl w:val="0"/>
        <w:kinsoku/>
        <w:wordWrap/>
        <w:overflowPunct/>
        <w:topLinePunct w:val="0"/>
        <w:bidi w:val="0"/>
        <w:spacing w:line="360" w:lineRule="auto"/>
        <w:ind w:left="359" w:leftChars="0" w:hanging="359" w:hangingChars="171"/>
        <w:rPr>
          <w:rFonts w:hAnsi="宋体"/>
          <w:color w:val="000000"/>
        </w:rPr>
      </w:pPr>
      <w:r>
        <w:rPr>
          <w:rFonts w:hAnsi="宋体"/>
          <w:color w:val="000000"/>
        </w:rPr>
        <w:t xml:space="preserve">   （5）服务承诺；                   （6）成交通知书；</w:t>
      </w:r>
    </w:p>
    <w:p w14:paraId="30F221E7">
      <w:pPr>
        <w:pStyle w:val="26"/>
        <w:keepNext w:val="0"/>
        <w:keepLines w:val="0"/>
        <w:pageBreakBefore w:val="0"/>
        <w:widowControl w:val="0"/>
        <w:kinsoku/>
        <w:wordWrap/>
        <w:overflowPunct/>
        <w:topLinePunct w:val="0"/>
        <w:bidi w:val="0"/>
        <w:spacing w:line="360" w:lineRule="auto"/>
        <w:ind w:left="359" w:leftChars="0" w:hanging="359" w:hangingChars="171"/>
        <w:rPr>
          <w:rFonts w:hAnsi="宋体"/>
          <w:color w:val="000000"/>
        </w:rPr>
      </w:pPr>
      <w:r>
        <w:rPr>
          <w:rFonts w:hAnsi="宋体"/>
          <w:color w:val="000000"/>
        </w:rPr>
        <w:t xml:space="preserve">   （7）甲乙双方补充协议；           （8）乙方参加磋商时提供的响应文件。</w:t>
      </w:r>
    </w:p>
    <w:p w14:paraId="1FE8725A">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4、知识产权保证</w:t>
      </w:r>
    </w:p>
    <w:p w14:paraId="2A4112B9">
      <w:pPr>
        <w:keepNext w:val="0"/>
        <w:keepLines w:val="0"/>
        <w:pageBreakBefore w:val="0"/>
        <w:widowControl w:val="0"/>
        <w:kinsoku/>
        <w:wordWrap/>
        <w:overflowPunct/>
        <w:topLinePunct w:val="0"/>
        <w:autoSpaceDE w:val="0"/>
        <w:autoSpaceDN w:val="0"/>
        <w:bidi w:val="0"/>
        <w:spacing w:line="360" w:lineRule="auto"/>
        <w:ind w:left="0" w:leftChars="0" w:firstLine="420" w:firstLineChars="200"/>
        <w:rPr>
          <w:rFonts w:hint="eastAsia" w:ascii="宋体" w:hAnsi="宋体"/>
          <w:color w:val="000000"/>
          <w:szCs w:val="21"/>
        </w:rPr>
      </w:pPr>
      <w:r>
        <w:rPr>
          <w:rFonts w:hint="eastAsia" w:ascii="宋体" w:hAnsi="宋体" w:cs="宋体"/>
          <w:color w:val="000000"/>
          <w:szCs w:val="21"/>
        </w:rPr>
        <w:t>乙方保证甲方在使用、接受本合同服务或其任何一部分时，不受第三方提出侵犯其专利权、版权、商标权和工业设计权等知识产权的起诉。一旦出现侵权，由乙方负全部责任。</w:t>
      </w:r>
    </w:p>
    <w:p w14:paraId="1CC94AC0">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5、产权保证</w:t>
      </w:r>
    </w:p>
    <w:p w14:paraId="19235EEC">
      <w:pPr>
        <w:keepNext w:val="0"/>
        <w:keepLines w:val="0"/>
        <w:pageBreakBefore w:val="0"/>
        <w:widowControl w:val="0"/>
        <w:kinsoku/>
        <w:wordWrap/>
        <w:overflowPunct/>
        <w:topLinePunct w:val="0"/>
        <w:autoSpaceDE w:val="0"/>
        <w:autoSpaceDN w:val="0"/>
        <w:bidi w:val="0"/>
        <w:spacing w:line="360" w:lineRule="auto"/>
        <w:ind w:left="0" w:leftChars="0" w:firstLine="420" w:firstLineChars="200"/>
        <w:rPr>
          <w:rFonts w:hint="eastAsia" w:ascii="宋体" w:hAnsi="宋体"/>
          <w:color w:val="000000"/>
          <w:szCs w:val="21"/>
        </w:rPr>
      </w:pPr>
      <w:r>
        <w:rPr>
          <w:rFonts w:hint="eastAsia" w:ascii="宋体" w:hAnsi="宋体" w:cs="宋体"/>
          <w:color w:val="000000"/>
          <w:szCs w:val="21"/>
        </w:rPr>
        <w:t>乙方保证所交付的服务和服务所涉及的物品所有权无任何抵押、查封等权利瑕疵。</w:t>
      </w:r>
    </w:p>
    <w:p w14:paraId="21E7D5CF">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6、转包或分包</w:t>
      </w:r>
    </w:p>
    <w:p w14:paraId="3B5EF43F">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6.1 本合同禁止转包，本合同范围的服务，应由乙方直接提供的，不得转让他人提供。</w:t>
      </w:r>
    </w:p>
    <w:p w14:paraId="0C6C66F3">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6.2 经甲方同意，乙方可以依法采取分包方式履行合同，但是分包方式履行的，乙方应就采购项目向甲方负全责。</w:t>
      </w:r>
    </w:p>
    <w:p w14:paraId="0AD484DC">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7、服务期限</w:t>
      </w:r>
    </w:p>
    <w:p w14:paraId="6A0DE00D">
      <w:pPr>
        <w:pStyle w:val="26"/>
        <w:keepNext w:val="0"/>
        <w:keepLines w:val="0"/>
        <w:pageBreakBefore w:val="0"/>
        <w:widowControl w:val="0"/>
        <w:kinsoku/>
        <w:wordWrap/>
        <w:overflowPunct/>
        <w:topLinePunct w:val="0"/>
        <w:bidi w:val="0"/>
        <w:spacing w:line="360" w:lineRule="auto"/>
        <w:ind w:firstLine="420" w:firstLineChars="200"/>
        <w:rPr>
          <w:rFonts w:hint="eastAsia" w:hAnsi="宋体" w:eastAsia="宋体"/>
          <w:lang w:eastAsia="zh-CN"/>
        </w:rPr>
      </w:pPr>
      <w:r>
        <w:rPr>
          <w:rFonts w:hAnsi="宋体"/>
        </w:rPr>
        <w:t xml:space="preserve">7.1 </w:t>
      </w:r>
      <w:r>
        <w:rPr>
          <w:rFonts w:hint="eastAsia" w:hAnsi="宋体"/>
          <w:lang w:eastAsia="zh-CN"/>
        </w:rPr>
        <w:t>服务期限1年，具体进场时间以甲方书面通知为准。</w:t>
      </w:r>
    </w:p>
    <w:p w14:paraId="59649BF0">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8、交付期、交付方式及交付地点</w:t>
      </w:r>
    </w:p>
    <w:p w14:paraId="701B1863">
      <w:pPr>
        <w:pStyle w:val="26"/>
        <w:keepNext w:val="0"/>
        <w:keepLines w:val="0"/>
        <w:pageBreakBefore w:val="0"/>
        <w:widowControl w:val="0"/>
        <w:kinsoku/>
        <w:wordWrap/>
        <w:overflowPunct/>
        <w:topLinePunct w:val="0"/>
        <w:bidi w:val="0"/>
        <w:spacing w:line="360" w:lineRule="auto"/>
        <w:ind w:left="0" w:leftChars="0" w:firstLine="420" w:firstLineChars="200"/>
        <w:rPr>
          <w:rFonts w:hAnsi="宋体"/>
          <w:bCs/>
          <w:color w:val="000000"/>
        </w:rPr>
      </w:pPr>
      <w:r>
        <w:rPr>
          <w:rFonts w:hAnsi="宋体"/>
          <w:bCs/>
          <w:color w:val="000000"/>
        </w:rPr>
        <w:t>8.1 交付期：</w:t>
      </w:r>
      <w:r>
        <w:rPr>
          <w:rFonts w:hAnsi="宋体"/>
          <w:color w:val="000000"/>
        </w:rPr>
        <w:t>_________</w:t>
      </w:r>
    </w:p>
    <w:p w14:paraId="15AC04BA">
      <w:pPr>
        <w:pStyle w:val="26"/>
        <w:keepNext w:val="0"/>
        <w:keepLines w:val="0"/>
        <w:pageBreakBefore w:val="0"/>
        <w:widowControl w:val="0"/>
        <w:kinsoku/>
        <w:wordWrap/>
        <w:overflowPunct/>
        <w:topLinePunct w:val="0"/>
        <w:bidi w:val="0"/>
        <w:spacing w:line="360" w:lineRule="auto"/>
        <w:ind w:left="0" w:leftChars="0" w:firstLine="420" w:firstLineChars="200"/>
        <w:rPr>
          <w:rFonts w:hAnsi="宋体"/>
          <w:bCs/>
          <w:color w:val="000000"/>
        </w:rPr>
      </w:pPr>
      <w:r>
        <w:rPr>
          <w:rFonts w:hAnsi="宋体"/>
          <w:bCs/>
          <w:color w:val="000000"/>
        </w:rPr>
        <w:t>8.2 交付方式：</w:t>
      </w:r>
      <w:r>
        <w:rPr>
          <w:rFonts w:hAnsi="宋体"/>
          <w:color w:val="000000"/>
        </w:rPr>
        <w:t>_________</w:t>
      </w:r>
    </w:p>
    <w:p w14:paraId="24568246">
      <w:pPr>
        <w:pStyle w:val="26"/>
        <w:keepNext w:val="0"/>
        <w:keepLines w:val="0"/>
        <w:pageBreakBefore w:val="0"/>
        <w:widowControl w:val="0"/>
        <w:kinsoku/>
        <w:wordWrap/>
        <w:overflowPunct/>
        <w:topLinePunct w:val="0"/>
        <w:bidi w:val="0"/>
        <w:spacing w:line="360" w:lineRule="auto"/>
        <w:ind w:left="0" w:leftChars="0" w:firstLine="420" w:firstLineChars="200"/>
        <w:rPr>
          <w:rFonts w:hAnsi="宋体"/>
          <w:b/>
          <w:color w:val="000000"/>
        </w:rPr>
      </w:pPr>
      <w:r>
        <w:rPr>
          <w:rFonts w:hAnsi="宋体"/>
          <w:bCs/>
          <w:color w:val="000000"/>
        </w:rPr>
        <w:t>8.3 交付地点：</w:t>
      </w:r>
      <w:r>
        <w:rPr>
          <w:rFonts w:hAnsi="宋体"/>
          <w:color w:val="000000"/>
        </w:rPr>
        <w:t>_________</w:t>
      </w:r>
    </w:p>
    <w:p w14:paraId="03119548">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9、货款支付</w:t>
      </w:r>
    </w:p>
    <w:p w14:paraId="54A5B8B7">
      <w:pPr>
        <w:keepNext w:val="0"/>
        <w:keepLines w:val="0"/>
        <w:pageBreakBefore w:val="0"/>
        <w:widowControl w:val="0"/>
        <w:kinsoku/>
        <w:wordWrap/>
        <w:overflowPunct/>
        <w:topLinePunct w:val="0"/>
        <w:autoSpaceDE w:val="0"/>
        <w:autoSpaceDN w:val="0"/>
        <w:bidi w:val="0"/>
        <w:spacing w:line="360" w:lineRule="auto"/>
        <w:ind w:left="0" w:leftChars="0" w:firstLine="420" w:firstLineChars="200"/>
        <w:rPr>
          <w:rFonts w:hint="eastAsia" w:ascii="宋体" w:hAnsi="宋体" w:cs="宋体"/>
          <w:color w:val="000000"/>
          <w:szCs w:val="21"/>
        </w:rPr>
      </w:pPr>
      <w:r>
        <w:rPr>
          <w:rFonts w:hint="eastAsia" w:ascii="宋体" w:hAnsi="宋体"/>
          <w:color w:val="000000"/>
          <w:szCs w:val="21"/>
        </w:rPr>
        <w:t>9</w:t>
      </w:r>
      <w:r>
        <w:rPr>
          <w:rFonts w:ascii="宋体" w:hAnsi="宋体"/>
          <w:color w:val="000000"/>
          <w:szCs w:val="21"/>
        </w:rPr>
        <w:t xml:space="preserve">.1 </w:t>
      </w:r>
      <w:r>
        <w:rPr>
          <w:rFonts w:hint="eastAsia" w:ascii="宋体" w:hAnsi="宋体" w:cs="宋体"/>
          <w:color w:val="000000"/>
          <w:szCs w:val="21"/>
        </w:rPr>
        <w:t xml:space="preserve">本合同项下所有款项均以人民币支付。 </w:t>
      </w:r>
    </w:p>
    <w:p w14:paraId="3BBD8B7A">
      <w:pPr>
        <w:keepNext w:val="0"/>
        <w:keepLines w:val="0"/>
        <w:pageBreakBefore w:val="0"/>
        <w:widowControl w:val="0"/>
        <w:kinsoku/>
        <w:wordWrap/>
        <w:overflowPunct/>
        <w:topLinePunct w:val="0"/>
        <w:autoSpaceDE w:val="0"/>
        <w:autoSpaceDN w:val="0"/>
        <w:bidi w:val="0"/>
        <w:spacing w:line="360" w:lineRule="auto"/>
        <w:ind w:left="0" w:leftChars="0" w:firstLine="420" w:firstLineChars="200"/>
        <w:rPr>
          <w:rFonts w:hint="eastAsia" w:ascii="宋体" w:hAnsi="宋体"/>
          <w:color w:val="000000"/>
          <w:szCs w:val="21"/>
        </w:rPr>
      </w:pPr>
      <w:r>
        <w:rPr>
          <w:rFonts w:hint="eastAsia" w:ascii="宋体" w:hAnsi="宋体" w:cs="宋体"/>
          <w:color w:val="000000"/>
          <w:szCs w:val="21"/>
        </w:rPr>
        <w:t>9.2 本合同项下的采购资金由甲方支付。</w:t>
      </w:r>
    </w:p>
    <w:p w14:paraId="16035CEE">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bCs/>
          <w:color w:val="000000"/>
          <w:highlight w:val="none"/>
        </w:rPr>
      </w:pPr>
      <w:r>
        <w:rPr>
          <w:rFonts w:hint="eastAsia" w:hAnsi="宋体"/>
          <w:bCs/>
          <w:color w:val="000000"/>
        </w:rPr>
        <w:t>9.3 甲方付款</w:t>
      </w:r>
      <w:r>
        <w:rPr>
          <w:rFonts w:hint="eastAsia" w:hAnsi="宋体"/>
          <w:bCs/>
          <w:color w:val="000000"/>
          <w:highlight w:val="none"/>
        </w:rPr>
        <w:t>方式：</w:t>
      </w:r>
    </w:p>
    <w:p w14:paraId="6B1248B9">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bCs/>
          <w:color w:val="000000"/>
          <w:highlight w:val="none"/>
        </w:rPr>
      </w:pPr>
      <w:r>
        <w:rPr>
          <w:rFonts w:hint="eastAsia" w:hAnsi="宋体"/>
          <w:bCs/>
          <w:color w:val="000000"/>
          <w:highlight w:val="none"/>
          <w:lang w:eastAsia="zh-CN"/>
        </w:rPr>
        <w:t>该项目分两次付款，第一次付款于养护期开始半年后</w:t>
      </w:r>
      <w:r>
        <w:rPr>
          <w:rFonts w:hint="eastAsia" w:hAnsi="宋体"/>
          <w:bCs/>
          <w:color w:val="000000"/>
          <w:highlight w:val="none"/>
        </w:rPr>
        <w:t>根据考核结果</w:t>
      </w:r>
      <w:r>
        <w:rPr>
          <w:rFonts w:hint="eastAsia" w:hAnsi="宋体"/>
          <w:bCs/>
          <w:color w:val="000000"/>
          <w:highlight w:val="none"/>
          <w:lang w:eastAsia="zh-CN"/>
        </w:rPr>
        <w:t>付款，暂按养护面积20</w:t>
      </w:r>
      <w:r>
        <w:rPr>
          <w:rFonts w:hint="eastAsia" w:hAnsi="宋体"/>
          <w:bCs/>
          <w:color w:val="000000"/>
          <w:highlight w:val="none"/>
          <w:lang w:val="en-US" w:eastAsia="zh-CN"/>
        </w:rPr>
        <w:t>0000</w:t>
      </w:r>
      <w:r>
        <w:rPr>
          <w:rFonts w:hint="eastAsia" w:hAnsi="宋体"/>
          <w:bCs/>
          <w:color w:val="000000"/>
          <w:highlight w:val="none"/>
        </w:rPr>
        <w:t>平方米计算</w:t>
      </w:r>
      <w:r>
        <w:rPr>
          <w:rFonts w:hint="eastAsia" w:hAnsi="宋体"/>
          <w:bCs/>
          <w:color w:val="000000"/>
          <w:highlight w:val="none"/>
          <w:lang w:eastAsia="zh-CN"/>
        </w:rPr>
        <w:t>合同价付至合同价</w:t>
      </w:r>
      <w:r>
        <w:rPr>
          <w:rFonts w:hint="eastAsia" w:hAnsi="宋体"/>
          <w:bCs/>
          <w:color w:val="000000"/>
          <w:highlight w:val="none"/>
          <w:lang w:val="en-US" w:eastAsia="zh-CN"/>
        </w:rPr>
        <w:t>的50%（扣除当期考核款）；第二次付款于该项目养护期满且经审计结束后，</w:t>
      </w:r>
      <w:r>
        <w:rPr>
          <w:rFonts w:hint="eastAsia" w:hAnsi="宋体"/>
          <w:bCs/>
          <w:color w:val="000000"/>
          <w:highlight w:val="none"/>
        </w:rPr>
        <w:t>根据考核结果</w:t>
      </w:r>
      <w:r>
        <w:rPr>
          <w:rFonts w:hint="eastAsia" w:hAnsi="宋体"/>
          <w:bCs/>
          <w:color w:val="000000"/>
          <w:highlight w:val="none"/>
          <w:lang w:val="en-US" w:eastAsia="zh-CN"/>
        </w:rPr>
        <w:t>按结算价（扣除考核款）付清。付款前</w:t>
      </w:r>
      <w:r>
        <w:rPr>
          <w:rFonts w:hint="eastAsia" w:hAnsi="宋体"/>
          <w:bCs/>
          <w:color w:val="000000"/>
          <w:highlight w:val="none"/>
        </w:rPr>
        <w:t>乙方</w:t>
      </w:r>
      <w:r>
        <w:rPr>
          <w:rFonts w:hint="eastAsia" w:hAnsi="宋体"/>
          <w:bCs/>
          <w:color w:val="000000"/>
          <w:highlight w:val="none"/>
          <w:lang w:eastAsia="zh-CN"/>
        </w:rPr>
        <w:t>需</w:t>
      </w:r>
      <w:r>
        <w:rPr>
          <w:rFonts w:hint="eastAsia" w:hAnsi="宋体"/>
          <w:bCs/>
          <w:color w:val="000000"/>
          <w:highlight w:val="none"/>
        </w:rPr>
        <w:t>向甲方开具合法有效的增值税专用发票，发票税率</w:t>
      </w:r>
      <w:r>
        <w:rPr>
          <w:rFonts w:hint="eastAsia" w:hAnsi="宋体"/>
          <w:bCs/>
          <w:color w:val="000000"/>
          <w:highlight w:val="none"/>
          <w:u w:val="single"/>
        </w:rPr>
        <w:t xml:space="preserve">  </w:t>
      </w:r>
      <w:r>
        <w:rPr>
          <w:rFonts w:hint="eastAsia" w:hAnsi="宋体"/>
          <w:bCs/>
          <w:color w:val="000000"/>
          <w:highlight w:val="none"/>
        </w:rPr>
        <w:t>%。</w:t>
      </w:r>
    </w:p>
    <w:p w14:paraId="53E455AE">
      <w:pPr>
        <w:pStyle w:val="26"/>
        <w:keepNext w:val="0"/>
        <w:keepLines w:val="0"/>
        <w:pageBreakBefore w:val="0"/>
        <w:widowControl w:val="0"/>
        <w:kinsoku/>
        <w:wordWrap/>
        <w:overflowPunct/>
        <w:topLinePunct w:val="0"/>
        <w:bidi w:val="0"/>
        <w:spacing w:line="360" w:lineRule="auto"/>
        <w:ind w:left="0" w:leftChars="0" w:firstLine="420" w:firstLineChars="200"/>
        <w:rPr>
          <w:rFonts w:hint="eastAsia" w:hAnsi="宋体"/>
          <w:bCs/>
          <w:color w:val="000000"/>
          <w:highlight w:val="none"/>
        </w:rPr>
      </w:pPr>
      <w:r>
        <w:rPr>
          <w:rFonts w:hint="eastAsia" w:ascii="宋体" w:hAnsi="宋体" w:cs="宋体"/>
          <w:color w:val="000000"/>
          <w:kern w:val="0"/>
          <w:sz w:val="21"/>
          <w:szCs w:val="21"/>
          <w:highlight w:val="none"/>
        </w:rPr>
        <w:t>本工程需要进行结算审计，</w:t>
      </w:r>
      <w:r>
        <w:rPr>
          <w:rFonts w:hint="eastAsia" w:hAnsi="宋体"/>
          <w:bCs/>
          <w:color w:val="000000"/>
          <w:highlight w:val="none"/>
        </w:rPr>
        <w:t>实际养护面积不低于20</w:t>
      </w:r>
      <w:r>
        <w:rPr>
          <w:rFonts w:hint="eastAsia" w:hAnsi="宋体"/>
          <w:bCs/>
          <w:color w:val="000000"/>
          <w:highlight w:val="none"/>
          <w:lang w:val="en-US" w:eastAsia="zh-CN"/>
        </w:rPr>
        <w:t>0000</w:t>
      </w:r>
      <w:r>
        <w:rPr>
          <w:rFonts w:hint="eastAsia" w:hAnsi="宋体"/>
          <w:bCs/>
          <w:color w:val="000000"/>
          <w:highlight w:val="none"/>
        </w:rPr>
        <w:t>平方米，合同价不作调整；实际养护面积低于20</w:t>
      </w:r>
      <w:r>
        <w:rPr>
          <w:rFonts w:hint="eastAsia" w:hAnsi="宋体"/>
          <w:bCs/>
          <w:color w:val="000000"/>
          <w:highlight w:val="none"/>
          <w:lang w:val="en-US" w:eastAsia="zh-CN"/>
        </w:rPr>
        <w:t>0000</w:t>
      </w:r>
      <w:r>
        <w:rPr>
          <w:rFonts w:hint="eastAsia" w:hAnsi="宋体"/>
          <w:bCs/>
          <w:color w:val="000000"/>
          <w:highlight w:val="none"/>
        </w:rPr>
        <w:t>平方米，则按合同价/20</w:t>
      </w:r>
      <w:r>
        <w:rPr>
          <w:rFonts w:hint="eastAsia" w:hAnsi="宋体"/>
          <w:bCs/>
          <w:color w:val="000000"/>
          <w:highlight w:val="none"/>
          <w:lang w:val="en-US" w:eastAsia="zh-CN"/>
        </w:rPr>
        <w:t>0000</w:t>
      </w:r>
      <w:r>
        <w:rPr>
          <w:rFonts w:hint="eastAsia" w:hAnsi="宋体"/>
          <w:bCs/>
          <w:color w:val="000000"/>
          <w:highlight w:val="none"/>
        </w:rPr>
        <w:t>*实际养护面积（面积单位为平方米）作为结算价。</w:t>
      </w:r>
    </w:p>
    <w:p w14:paraId="0C8867A1">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kern w:val="0"/>
          <w:sz w:val="21"/>
          <w:szCs w:val="21"/>
          <w:highlight w:val="none"/>
        </w:rPr>
        <w:t>工程审计核减率超过5%的部分审计费由乙方承担。乙方承担审计费=超过部分基本费+超过部分审计绩效费=（送审价-送审价*5%-审定价）*5‰+（送审价-审定价-送审价*5%）*5%。</w:t>
      </w:r>
    </w:p>
    <w:p w14:paraId="0F0E259E">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10、税费</w:t>
      </w:r>
    </w:p>
    <w:p w14:paraId="48D1714E">
      <w:pPr>
        <w:pStyle w:val="26"/>
        <w:keepNext w:val="0"/>
        <w:keepLines w:val="0"/>
        <w:pageBreakBefore w:val="0"/>
        <w:widowControl w:val="0"/>
        <w:kinsoku/>
        <w:wordWrap/>
        <w:overflowPunct/>
        <w:topLinePunct w:val="0"/>
        <w:bidi w:val="0"/>
        <w:spacing w:line="360" w:lineRule="auto"/>
        <w:ind w:left="0" w:leftChars="0" w:firstLine="420" w:firstLineChars="200"/>
        <w:rPr>
          <w:rFonts w:hAnsi="宋体"/>
          <w:b/>
          <w:bCs/>
          <w:color w:val="000000"/>
        </w:rPr>
      </w:pPr>
      <w:r>
        <w:rPr>
          <w:rFonts w:hAnsi="宋体" w:cs="宋体"/>
          <w:color w:val="000000"/>
        </w:rPr>
        <w:t>本合同执行中相关的一切税费均由乙方负担。</w:t>
      </w:r>
    </w:p>
    <w:p w14:paraId="40BAC3FA">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11、质量保证及售后服务</w:t>
      </w:r>
    </w:p>
    <w:p w14:paraId="442A2F54">
      <w:pPr>
        <w:keepNext w:val="0"/>
        <w:keepLines w:val="0"/>
        <w:pageBreakBefore w:val="0"/>
        <w:widowControl w:val="0"/>
        <w:kinsoku/>
        <w:wordWrap/>
        <w:overflowPunct/>
        <w:topLinePunct w:val="0"/>
        <w:bidi w:val="0"/>
        <w:spacing w:line="360" w:lineRule="auto"/>
        <w:ind w:left="0" w:leftChars="0" w:firstLine="420" w:firstLineChars="200"/>
        <w:rPr>
          <w:rFonts w:hint="eastAsia" w:ascii="宋体" w:hAnsi="宋体"/>
          <w:color w:val="000000"/>
          <w:szCs w:val="21"/>
        </w:rPr>
      </w:pPr>
      <w:r>
        <w:rPr>
          <w:rFonts w:hint="eastAsia" w:ascii="宋体" w:hAnsi="宋体" w:cs="宋体"/>
          <w:color w:val="000000"/>
          <w:szCs w:val="21"/>
        </w:rPr>
        <w:t>11.1 乙方应按竞争性磋商文件规定及响应文件承诺的技术性能、技术要求、质量标准向甲方提供服务；若无特殊说明，则按国家有关部门最新颁布的标准及规范为准。</w:t>
      </w:r>
    </w:p>
    <w:p w14:paraId="65B5E027">
      <w:pPr>
        <w:keepNext w:val="0"/>
        <w:keepLines w:val="0"/>
        <w:pageBreakBefore w:val="0"/>
        <w:widowControl w:val="0"/>
        <w:kinsoku/>
        <w:wordWrap/>
        <w:overflowPunct/>
        <w:topLinePunct w:val="0"/>
        <w:bidi w:val="0"/>
        <w:spacing w:line="360" w:lineRule="auto"/>
        <w:ind w:left="0" w:leftChars="0" w:firstLine="420" w:firstLineChars="200"/>
        <w:rPr>
          <w:rFonts w:hint="eastAsia" w:ascii="宋体" w:hAnsi="宋体"/>
          <w:color w:val="000000"/>
          <w:szCs w:val="21"/>
        </w:rPr>
      </w:pPr>
      <w:r>
        <w:rPr>
          <w:rFonts w:hint="eastAsia" w:ascii="宋体" w:hAnsi="宋体" w:cs="宋体"/>
          <w:color w:val="000000"/>
          <w:szCs w:val="21"/>
        </w:rPr>
        <w:t>11.2乙方应保证其提供的服务是全面和规范的，并完全符合竞争性磋商文件及响应文件。如因乙方提供的服务有瑕疵造成甲方损失的，所需费用由乙方承担。</w:t>
      </w:r>
    </w:p>
    <w:p w14:paraId="59DB59E5">
      <w:pPr>
        <w:keepNext w:val="0"/>
        <w:keepLines w:val="0"/>
        <w:pageBreakBefore w:val="0"/>
        <w:widowControl w:val="0"/>
        <w:kinsoku/>
        <w:wordWrap/>
        <w:overflowPunct/>
        <w:topLinePunct w:val="0"/>
        <w:bidi w:val="0"/>
        <w:spacing w:line="360" w:lineRule="auto"/>
        <w:ind w:left="0" w:leftChars="0" w:firstLine="420" w:firstLineChars="200"/>
        <w:rPr>
          <w:rFonts w:hint="eastAsia" w:ascii="宋体" w:hAnsi="宋体"/>
          <w:color w:val="000000"/>
          <w:szCs w:val="21"/>
        </w:rPr>
      </w:pPr>
      <w:r>
        <w:rPr>
          <w:rFonts w:hint="eastAsia" w:ascii="宋体" w:hAnsi="宋体" w:cs="宋体"/>
          <w:color w:val="000000"/>
          <w:szCs w:val="21"/>
        </w:rPr>
        <w:t>11.3 如在使用过程中发生质量问题，乙方在接到甲方通知后在</w:t>
      </w:r>
      <w:r>
        <w:rPr>
          <w:rFonts w:hint="eastAsia" w:ascii="宋体" w:hAnsi="宋体" w:cs="宋体"/>
          <w:color w:val="000000"/>
          <w:szCs w:val="21"/>
          <w:u w:val="single"/>
          <w:lang w:val="en-US" w:eastAsia="zh-CN"/>
        </w:rPr>
        <w:t xml:space="preserve">  1  </w:t>
      </w:r>
      <w:r>
        <w:rPr>
          <w:rFonts w:hint="eastAsia" w:ascii="宋体" w:hAnsi="宋体" w:cs="宋体"/>
          <w:color w:val="000000"/>
          <w:szCs w:val="21"/>
        </w:rPr>
        <w:t>小时内到达甲方现场。</w:t>
      </w:r>
    </w:p>
    <w:p w14:paraId="46687F48">
      <w:pPr>
        <w:keepNext w:val="0"/>
        <w:keepLines w:val="0"/>
        <w:pageBreakBefore w:val="0"/>
        <w:widowControl w:val="0"/>
        <w:kinsoku/>
        <w:wordWrap/>
        <w:overflowPunct/>
        <w:topLinePunct w:val="0"/>
        <w:bidi w:val="0"/>
        <w:spacing w:line="360" w:lineRule="auto"/>
        <w:ind w:left="0" w:leftChars="0" w:firstLine="420" w:firstLineChars="200"/>
        <w:rPr>
          <w:rFonts w:hint="eastAsia" w:ascii="宋体" w:hAnsi="宋体"/>
          <w:color w:val="000000"/>
          <w:szCs w:val="21"/>
        </w:rPr>
      </w:pPr>
      <w:r>
        <w:rPr>
          <w:rFonts w:hint="eastAsia" w:ascii="宋体" w:hAnsi="宋体" w:cs="宋体"/>
          <w:color w:val="000000"/>
          <w:szCs w:val="21"/>
        </w:rPr>
        <w:t>11.4 免费维保期内，乙方应对所提供服务出现的质量及安全问题负责处理解决并承担一切费用。</w:t>
      </w:r>
    </w:p>
    <w:p w14:paraId="06DEA8D8">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12、交付和验收</w:t>
      </w:r>
    </w:p>
    <w:p w14:paraId="54D538D4">
      <w:pPr>
        <w:keepNext w:val="0"/>
        <w:keepLines w:val="0"/>
        <w:pageBreakBefore w:val="0"/>
        <w:widowControl w:val="0"/>
        <w:kinsoku/>
        <w:wordWrap/>
        <w:overflowPunct/>
        <w:topLinePunct w:val="0"/>
        <w:bidi w:val="0"/>
        <w:spacing w:line="360" w:lineRule="auto"/>
        <w:ind w:left="0" w:leftChars="0" w:firstLine="420" w:firstLineChars="200"/>
        <w:rPr>
          <w:rFonts w:hint="eastAsia" w:ascii="宋体" w:hAnsi="宋体"/>
          <w:color w:val="000000"/>
          <w:szCs w:val="21"/>
        </w:rPr>
      </w:pPr>
      <w:r>
        <w:rPr>
          <w:rFonts w:hint="eastAsia" w:ascii="宋体" w:hAnsi="宋体"/>
          <w:color w:val="000000"/>
          <w:szCs w:val="21"/>
        </w:rPr>
        <w:t>12.1 乙方应当在合同签订后</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szCs w:val="21"/>
        </w:rPr>
        <w:t>天内完成服务事项，竞争性磋商文件有约定的，从其约定。</w:t>
      </w:r>
    </w:p>
    <w:p w14:paraId="2B35A3C7">
      <w:pPr>
        <w:keepNext w:val="0"/>
        <w:keepLines w:val="0"/>
        <w:pageBreakBefore w:val="0"/>
        <w:widowControl w:val="0"/>
        <w:kinsoku/>
        <w:wordWrap/>
        <w:overflowPunct/>
        <w:topLinePunct w:val="0"/>
        <w:bidi w:val="0"/>
        <w:spacing w:line="360" w:lineRule="auto"/>
        <w:ind w:left="0" w:leftChars="0" w:firstLine="420" w:firstLineChars="200"/>
        <w:rPr>
          <w:rFonts w:hint="eastAsia" w:ascii="宋体" w:hAnsi="宋体"/>
          <w:color w:val="000000"/>
          <w:szCs w:val="21"/>
        </w:rPr>
      </w:pPr>
      <w:r>
        <w:rPr>
          <w:rFonts w:hint="eastAsia" w:ascii="宋体" w:hAnsi="宋体"/>
          <w:color w:val="000000"/>
          <w:szCs w:val="21"/>
        </w:rPr>
        <w:t>在交付前，乙方应作出全面检查和对验收文件进行整理，并列出清单，作为甲方初验收和使用的技术条件依据，检验的结果交甲方。</w:t>
      </w:r>
    </w:p>
    <w:p w14:paraId="1930CAC6">
      <w:pPr>
        <w:keepNext w:val="0"/>
        <w:keepLines w:val="0"/>
        <w:pageBreakBefore w:val="0"/>
        <w:widowControl w:val="0"/>
        <w:kinsoku/>
        <w:wordWrap/>
        <w:overflowPunct/>
        <w:topLinePunct w:val="0"/>
        <w:bidi w:val="0"/>
        <w:spacing w:line="360" w:lineRule="auto"/>
        <w:ind w:left="0" w:leftChars="0" w:firstLine="420" w:firstLineChars="200"/>
        <w:rPr>
          <w:rFonts w:hint="eastAsia" w:ascii="宋体" w:hAnsi="宋体"/>
          <w:color w:val="000000"/>
          <w:szCs w:val="21"/>
        </w:rPr>
      </w:pPr>
      <w:r>
        <w:rPr>
          <w:rFonts w:hint="eastAsia" w:ascii="宋体" w:hAnsi="宋体"/>
          <w:color w:val="000000"/>
          <w:szCs w:val="21"/>
        </w:rPr>
        <w:t>12.2 验收标准：按乙方磋商响应文件的承诺，并不低于国家相关标准。</w:t>
      </w:r>
    </w:p>
    <w:p w14:paraId="0EB87386">
      <w:pPr>
        <w:keepNext w:val="0"/>
        <w:keepLines w:val="0"/>
        <w:pageBreakBefore w:val="0"/>
        <w:widowControl w:val="0"/>
        <w:kinsoku/>
        <w:wordWrap/>
        <w:overflowPunct/>
        <w:topLinePunct w:val="0"/>
        <w:bidi w:val="0"/>
        <w:spacing w:line="360" w:lineRule="auto"/>
        <w:ind w:left="0" w:leftChars="0" w:firstLine="420" w:firstLineChars="200"/>
        <w:rPr>
          <w:rFonts w:hint="eastAsia" w:ascii="宋体" w:hAnsi="宋体"/>
          <w:color w:val="000000"/>
          <w:szCs w:val="21"/>
        </w:rPr>
      </w:pPr>
      <w:r>
        <w:rPr>
          <w:rFonts w:hint="eastAsia" w:ascii="宋体" w:hAnsi="宋体"/>
          <w:color w:val="000000"/>
          <w:szCs w:val="21"/>
        </w:rPr>
        <w:t>对于乙方要交付的服务，甲乙双方须在</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szCs w:val="21"/>
        </w:rPr>
        <w:t>工作日内初验收，甲方对乙方提交的服务依据竞争性磋商文件上的技术要求和国家有关质量标准进行现场初步验收，外观、说明书、包装符合竞争性磋商文件技术要求的，给予签收，初步验收不合格的不予签收。</w:t>
      </w:r>
    </w:p>
    <w:p w14:paraId="5071D85F">
      <w:pPr>
        <w:keepNext w:val="0"/>
        <w:keepLines w:val="0"/>
        <w:pageBreakBefore w:val="0"/>
        <w:widowControl w:val="0"/>
        <w:kinsoku/>
        <w:wordWrap/>
        <w:overflowPunct/>
        <w:topLinePunct w:val="0"/>
        <w:bidi w:val="0"/>
        <w:spacing w:line="360" w:lineRule="auto"/>
        <w:ind w:left="0" w:leftChars="0" w:firstLine="420" w:firstLineChars="200"/>
        <w:rPr>
          <w:rFonts w:hint="eastAsia" w:ascii="宋体" w:hAnsi="宋体"/>
          <w:color w:val="000000"/>
          <w:szCs w:val="21"/>
        </w:rPr>
      </w:pPr>
      <w:r>
        <w:rPr>
          <w:rFonts w:hint="eastAsia" w:ascii="宋体" w:hAnsi="宋体"/>
          <w:color w:val="000000"/>
          <w:szCs w:val="21"/>
        </w:rPr>
        <w:t>12.3 乙方按照竞争性磋商文件要求负责安装并培训甲方的使用操作人员，乙方在甲方使用前进行调试，调试直到符合技术要求的甲方才做最终验收。</w:t>
      </w:r>
    </w:p>
    <w:p w14:paraId="5CB33DD5">
      <w:pPr>
        <w:keepNext w:val="0"/>
        <w:keepLines w:val="0"/>
        <w:pageBreakBefore w:val="0"/>
        <w:widowControl w:val="0"/>
        <w:kinsoku/>
        <w:wordWrap/>
        <w:overflowPunct/>
        <w:topLinePunct w:val="0"/>
        <w:bidi w:val="0"/>
        <w:spacing w:line="360" w:lineRule="auto"/>
        <w:ind w:left="0" w:leftChars="0" w:firstLine="420" w:firstLineChars="200"/>
        <w:rPr>
          <w:rFonts w:hint="eastAsia" w:ascii="宋体" w:hAnsi="宋体"/>
          <w:color w:val="000000"/>
          <w:szCs w:val="21"/>
        </w:rPr>
      </w:pPr>
      <w:r>
        <w:rPr>
          <w:rFonts w:hint="eastAsia" w:ascii="宋体" w:hAnsi="宋体"/>
          <w:color w:val="000000"/>
          <w:szCs w:val="21"/>
        </w:rPr>
        <w:t>12.4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14:paraId="3A4339FD">
      <w:pPr>
        <w:keepNext w:val="0"/>
        <w:keepLines w:val="0"/>
        <w:pageBreakBefore w:val="0"/>
        <w:widowControl w:val="0"/>
        <w:kinsoku/>
        <w:wordWrap/>
        <w:overflowPunct/>
        <w:topLinePunct w:val="0"/>
        <w:bidi w:val="0"/>
        <w:spacing w:line="360" w:lineRule="auto"/>
        <w:ind w:left="0" w:leftChars="0" w:firstLine="420" w:firstLineChars="200"/>
        <w:rPr>
          <w:rFonts w:ascii="宋体" w:hAnsi="宋体"/>
          <w:color w:val="000000"/>
          <w:szCs w:val="21"/>
          <w:u w:val="single"/>
        </w:rPr>
      </w:pPr>
      <w:r>
        <w:rPr>
          <w:rFonts w:hint="eastAsia" w:ascii="宋体" w:hAnsi="宋体"/>
          <w:color w:val="000000"/>
          <w:szCs w:val="21"/>
        </w:rPr>
        <w:t>12.5 甲乙双方关于调试和验收的其他约定：</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szCs w:val="21"/>
        </w:rPr>
        <w:t>。</w:t>
      </w:r>
    </w:p>
    <w:p w14:paraId="5421C1CD">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13、包装、发运及运输</w:t>
      </w:r>
    </w:p>
    <w:p w14:paraId="1A7DACD3">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13.1 乙方应对其提供的服务所涉及物品在发运前对其进行满足运输距离、防潮、防震、防锈和防破损装卸等要求包装，以保证安全运达甲方指定地点。</w:t>
      </w:r>
    </w:p>
    <w:p w14:paraId="7B7BE5AD">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13.2 乙方交付时，使用说明书、检验证明书、随配附件和工具以及清单一并附于内。</w:t>
      </w:r>
    </w:p>
    <w:p w14:paraId="3BFCED7C">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13.3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14:paraId="7211CF27">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13.4 服务在交付甲方前发生的风险均由乙方负责。</w:t>
      </w:r>
    </w:p>
    <w:p w14:paraId="44C1FDDE">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13.5 服务在规定的交付期限内由乙方送达甲方指定的地点。</w:t>
      </w:r>
    </w:p>
    <w:p w14:paraId="60631DBC">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14、违约责任</w:t>
      </w:r>
    </w:p>
    <w:p w14:paraId="0C408A21">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s="宋体"/>
          <w:color w:val="000000"/>
        </w:rPr>
      </w:pPr>
      <w:r>
        <w:rPr>
          <w:rFonts w:hAnsi="宋体" w:cs="宋体"/>
          <w:color w:val="000000"/>
        </w:rPr>
        <w:t>14.1 甲方无正当理由拒绝初验收和终验收服务项目的，甲方应按未付服务项目款金额每日万分之五向乙方支付违约金。</w:t>
      </w:r>
    </w:p>
    <w:p w14:paraId="6627FA8F">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s="宋体"/>
          <w:color w:val="000000"/>
        </w:rPr>
      </w:pPr>
      <w:r>
        <w:rPr>
          <w:rFonts w:hAnsi="宋体" w:cs="宋体"/>
          <w:color w:val="000000"/>
        </w:rPr>
        <w:t>14.2 甲方无故逾期验收和无故逾期办理款项支付手续的,甲方应按逾期付款金额每日万分之五向乙方支付违约金。</w:t>
      </w:r>
    </w:p>
    <w:p w14:paraId="22376121">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s="宋体"/>
          <w:color w:val="000000"/>
        </w:rPr>
      </w:pPr>
      <w:r>
        <w:rPr>
          <w:rFonts w:hAnsi="宋体" w:cs="宋体"/>
          <w:color w:val="000000"/>
        </w:rPr>
        <w:t>14.3乙方违约，在消除违约情形前，应按本合同项目总额每日万分之五向甲方支付违约金，甲方可以从待付款项中扣除。</w:t>
      </w:r>
    </w:p>
    <w:p w14:paraId="3EF82014">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s="宋体"/>
          <w:color w:val="000000"/>
        </w:rPr>
      </w:pPr>
      <w:r>
        <w:rPr>
          <w:rFonts w:hAnsi="宋体" w:cs="宋体"/>
          <w:color w:val="000000"/>
        </w:rPr>
        <w:t>14.4乙方因逾期交付服务项目或因其他违约行为，导致甲方解除合同的，乙方应向甲方支付合同总值5%的违约金，如造成甲方损失超过违约金的，超出部分由乙方继续承担赔偿责任。</w:t>
      </w:r>
    </w:p>
    <w:p w14:paraId="7A8627E2">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s="宋体"/>
          <w:color w:val="000000"/>
        </w:rPr>
      </w:pPr>
      <w:r>
        <w:rPr>
          <w:rFonts w:hAnsi="宋体" w:cs="宋体"/>
          <w:color w:val="000000"/>
        </w:rPr>
        <w:t>14.5 乙方所交的服务项目全部或部分品种、型号、规格、技术参数、质量不符合合同规定及竞争性磋商文件规定标准的，乙方更换服务但逾期交付的（甲方拒绝接受的除外），按乙方逾期交付处理；乙方拒绝更换的，甲方可选择解除本合同或本合同的一部分，并可追究乙方的其他违约责任。</w:t>
      </w:r>
    </w:p>
    <w:p w14:paraId="7222D348">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s="宋体"/>
          <w:color w:val="000000"/>
        </w:rPr>
      </w:pPr>
      <w:r>
        <w:rPr>
          <w:rFonts w:hAnsi="宋体" w:cs="宋体"/>
          <w:color w:val="000000"/>
        </w:rPr>
        <w:t>14.6合同生效后，发现乙方投标属虚假承诺，或经权威部门监测提供的服务不能满足竞争性磋商文件要求，造成合同无法继续履行的，乙方应向甲方支付不少于合同总价</w:t>
      </w:r>
      <w:r>
        <w:rPr>
          <w:rFonts w:hAnsi="宋体" w:cs="宋体"/>
          <w:color w:val="000000"/>
          <w:u w:val="single"/>
        </w:rPr>
        <w:t xml:space="preserve"> </w:t>
      </w:r>
      <w:r>
        <w:rPr>
          <w:rFonts w:hint="eastAsia" w:hAnsi="宋体" w:cs="宋体"/>
          <w:color w:val="000000"/>
          <w:u w:val="single"/>
          <w:lang w:eastAsia="zh-CN"/>
        </w:rPr>
        <w:t>5</w:t>
      </w:r>
      <w:r>
        <w:rPr>
          <w:rFonts w:hAnsi="宋体" w:cs="宋体"/>
          <w:color w:val="000000"/>
          <w:u w:val="single"/>
        </w:rPr>
        <w:t xml:space="preserve">  </w:t>
      </w:r>
      <w:r>
        <w:rPr>
          <w:rFonts w:hAnsi="宋体" w:cs="宋体"/>
          <w:color w:val="000000"/>
        </w:rPr>
        <w:t>%赔偿金。</w:t>
      </w:r>
    </w:p>
    <w:p w14:paraId="2C28C9B8">
      <w:pPr>
        <w:pStyle w:val="26"/>
        <w:keepNext w:val="0"/>
        <w:keepLines w:val="0"/>
        <w:pageBreakBefore w:val="0"/>
        <w:widowControl w:val="0"/>
        <w:kinsoku/>
        <w:wordWrap/>
        <w:overflowPunct/>
        <w:topLinePunct w:val="0"/>
        <w:bidi w:val="0"/>
        <w:spacing w:line="360" w:lineRule="auto"/>
        <w:ind w:left="0" w:leftChars="0" w:firstLine="422" w:firstLineChars="200"/>
        <w:rPr>
          <w:rFonts w:hAnsi="宋体" w:cs="Courier New"/>
          <w:b/>
          <w:bCs/>
          <w:color w:val="000000"/>
        </w:rPr>
      </w:pPr>
      <w:r>
        <w:rPr>
          <w:rFonts w:hAnsi="宋体"/>
          <w:b/>
          <w:bCs/>
          <w:color w:val="000000"/>
        </w:rPr>
        <w:t>15、不可抗力事件处理</w:t>
      </w:r>
    </w:p>
    <w:p w14:paraId="1E40B5F8">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15.1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698DF092">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15.2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11A2C003">
      <w:pPr>
        <w:pStyle w:val="26"/>
        <w:keepNext w:val="0"/>
        <w:keepLines w:val="0"/>
        <w:pageBreakBefore w:val="0"/>
        <w:widowControl w:val="0"/>
        <w:kinsoku/>
        <w:wordWrap/>
        <w:overflowPunct/>
        <w:topLinePunct w:val="0"/>
        <w:bidi w:val="0"/>
        <w:spacing w:line="360" w:lineRule="auto"/>
        <w:ind w:left="0" w:leftChars="0" w:firstLine="422" w:firstLineChars="200"/>
        <w:rPr>
          <w:rFonts w:hAnsi="宋体"/>
          <w:b/>
          <w:bCs/>
          <w:color w:val="000000"/>
        </w:rPr>
      </w:pPr>
      <w:r>
        <w:rPr>
          <w:rFonts w:hAnsi="宋体"/>
          <w:b/>
          <w:bCs/>
          <w:color w:val="000000"/>
        </w:rPr>
        <w:t>16、争议解决</w:t>
      </w:r>
    </w:p>
    <w:p w14:paraId="48FABECF">
      <w:pPr>
        <w:pStyle w:val="26"/>
        <w:keepNext w:val="0"/>
        <w:keepLines w:val="0"/>
        <w:pageBreakBefore w:val="0"/>
        <w:widowControl w:val="0"/>
        <w:kinsoku/>
        <w:wordWrap/>
        <w:overflowPunct/>
        <w:topLinePunct w:val="0"/>
        <w:autoSpaceDE/>
        <w:autoSpaceDN/>
        <w:bidi w:val="0"/>
        <w:spacing w:line="360" w:lineRule="auto"/>
        <w:ind w:left="0" w:leftChars="0" w:firstLine="420" w:firstLineChars="200"/>
        <w:rPr>
          <w:rFonts w:hAnsi="宋体"/>
          <w:color w:val="000000"/>
        </w:rPr>
      </w:pPr>
      <w:r>
        <w:rPr>
          <w:rFonts w:hAnsi="宋体"/>
          <w:color w:val="000000"/>
        </w:rPr>
        <w:t>16.1 因服务的品质质量问题发生争议的，可在国家认可的质量检测机构对服务内容质量进行鉴定。服务符合标准的，鉴定费由甲方承担；服务项目不符合质量标准的，鉴定费由乙方承担。</w:t>
      </w:r>
    </w:p>
    <w:p w14:paraId="0DDC4559">
      <w:pPr>
        <w:pStyle w:val="26"/>
        <w:keepNext w:val="0"/>
        <w:keepLines w:val="0"/>
        <w:pageBreakBefore w:val="0"/>
        <w:widowControl w:val="0"/>
        <w:kinsoku/>
        <w:wordWrap/>
        <w:overflowPunct/>
        <w:topLinePunct w:val="0"/>
        <w:autoSpaceDE/>
        <w:autoSpaceDN/>
        <w:bidi w:val="0"/>
        <w:spacing w:line="360" w:lineRule="auto"/>
        <w:ind w:left="0" w:leftChars="0" w:firstLine="420" w:firstLineChars="200"/>
        <w:rPr>
          <w:rFonts w:hAnsi="宋体"/>
          <w:color w:val="000000"/>
        </w:rPr>
      </w:pPr>
      <w:r>
        <w:rPr>
          <w:rFonts w:hAnsi="宋体"/>
          <w:color w:val="000000"/>
        </w:rPr>
        <w:t>16.2 因履行本合同引起的或与本合同有关的争议，甲、乙双方应首先通过友好协商解决；如果协商不能解决争议，甲乙双方同意采取下列两种方式的第</w:t>
      </w:r>
      <w:r>
        <w:rPr>
          <w:rFonts w:hAnsi="宋体"/>
          <w:color w:val="000000"/>
          <w:u w:val="single"/>
        </w:rPr>
        <w:t>（1）</w:t>
      </w:r>
      <w:r>
        <w:rPr>
          <w:rFonts w:hAnsi="宋体"/>
          <w:color w:val="000000"/>
        </w:rPr>
        <w:t>种方式解决争议：</w:t>
      </w:r>
    </w:p>
    <w:p w14:paraId="40556EC7">
      <w:pPr>
        <w:pStyle w:val="26"/>
        <w:keepNext w:val="0"/>
        <w:keepLines w:val="0"/>
        <w:pageBreakBefore w:val="0"/>
        <w:widowControl w:val="0"/>
        <w:kinsoku/>
        <w:wordWrap/>
        <w:overflowPunct/>
        <w:topLinePunct w:val="0"/>
        <w:autoSpaceDE/>
        <w:autoSpaceDN/>
        <w:bidi w:val="0"/>
        <w:spacing w:line="360" w:lineRule="auto"/>
        <w:ind w:left="0" w:leftChars="0" w:firstLine="420" w:firstLineChars="200"/>
        <w:rPr>
          <w:rFonts w:hAnsi="宋体"/>
          <w:color w:val="000000"/>
        </w:rPr>
      </w:pPr>
      <w:r>
        <w:rPr>
          <w:rFonts w:hAnsi="宋体"/>
          <w:color w:val="000000"/>
        </w:rPr>
        <w:t>（1）向甲方所在地有管辖权的人民法院提起诉讼，适用中华人民共和国法律；</w:t>
      </w:r>
    </w:p>
    <w:p w14:paraId="2B172518">
      <w:pPr>
        <w:pStyle w:val="26"/>
        <w:keepNext w:val="0"/>
        <w:keepLines w:val="0"/>
        <w:pageBreakBefore w:val="0"/>
        <w:widowControl w:val="0"/>
        <w:kinsoku/>
        <w:wordWrap/>
        <w:overflowPunct/>
        <w:topLinePunct w:val="0"/>
        <w:bidi w:val="0"/>
        <w:spacing w:line="360" w:lineRule="auto"/>
        <w:ind w:left="0" w:leftChars="0" w:firstLine="420" w:firstLineChars="200"/>
        <w:rPr>
          <w:rFonts w:hAnsi="宋体"/>
          <w:color w:val="000000"/>
        </w:rPr>
      </w:pPr>
      <w:r>
        <w:rPr>
          <w:rFonts w:hAnsi="宋体"/>
          <w:color w:val="000000"/>
        </w:rPr>
        <w:t>（2）向扬州仲裁委员会按其仲裁规则申请仲裁。</w:t>
      </w:r>
    </w:p>
    <w:p w14:paraId="38E92211">
      <w:pPr>
        <w:pStyle w:val="26"/>
        <w:keepNext w:val="0"/>
        <w:keepLines w:val="0"/>
        <w:pageBreakBefore w:val="0"/>
        <w:widowControl w:val="0"/>
        <w:kinsoku/>
        <w:wordWrap/>
        <w:overflowPunct/>
        <w:topLinePunct w:val="0"/>
        <w:autoSpaceDE/>
        <w:autoSpaceDN/>
        <w:bidi w:val="0"/>
        <w:spacing w:line="360" w:lineRule="auto"/>
        <w:ind w:left="0" w:leftChars="0" w:firstLine="420" w:firstLineChars="200"/>
        <w:rPr>
          <w:rFonts w:hAnsi="宋体"/>
          <w:color w:val="000000"/>
        </w:rPr>
      </w:pPr>
      <w:r>
        <w:rPr>
          <w:rFonts w:hAnsi="宋体"/>
          <w:color w:val="000000"/>
        </w:rPr>
        <w:t>16.3 若甲乙双方任何一方都没有选择解除合同的，为避免扩大损失，在诉讼或仲裁期间，双方应继续履行。</w:t>
      </w:r>
    </w:p>
    <w:p w14:paraId="34722766">
      <w:pPr>
        <w:pStyle w:val="26"/>
        <w:keepNext w:val="0"/>
        <w:keepLines w:val="0"/>
        <w:pageBreakBefore w:val="0"/>
        <w:widowControl w:val="0"/>
        <w:kinsoku/>
        <w:wordWrap/>
        <w:overflowPunct/>
        <w:topLinePunct w:val="0"/>
        <w:autoSpaceDE/>
        <w:autoSpaceDN/>
        <w:bidi w:val="0"/>
        <w:spacing w:line="360" w:lineRule="auto"/>
        <w:ind w:left="0" w:leftChars="0" w:firstLine="422" w:firstLineChars="200"/>
        <w:rPr>
          <w:rFonts w:hAnsi="宋体"/>
          <w:b/>
          <w:bCs/>
          <w:color w:val="000000"/>
        </w:rPr>
      </w:pPr>
      <w:r>
        <w:rPr>
          <w:rFonts w:hAnsi="宋体"/>
          <w:b/>
          <w:bCs/>
          <w:color w:val="000000"/>
        </w:rPr>
        <w:t>17、合同其它</w:t>
      </w:r>
    </w:p>
    <w:p w14:paraId="65931AE9">
      <w:pPr>
        <w:pStyle w:val="26"/>
        <w:keepNext w:val="0"/>
        <w:keepLines w:val="0"/>
        <w:pageBreakBefore w:val="0"/>
        <w:widowControl w:val="0"/>
        <w:kinsoku/>
        <w:wordWrap/>
        <w:overflowPunct/>
        <w:topLinePunct w:val="0"/>
        <w:autoSpaceDE/>
        <w:autoSpaceDN/>
        <w:bidi w:val="0"/>
        <w:spacing w:line="360" w:lineRule="auto"/>
        <w:ind w:left="0" w:firstLine="420" w:firstLineChars="200"/>
        <w:rPr>
          <w:rFonts w:hAnsi="宋体"/>
          <w:color w:val="000000"/>
        </w:rPr>
      </w:pPr>
      <w:r>
        <w:rPr>
          <w:rFonts w:hAnsi="宋体"/>
          <w:color w:val="000000"/>
        </w:rPr>
        <w:t>17.1 乙方应诚实信用，严格按照竞争性磋商文件要求和投标承诺履行合同，不向甲方进行商业贿赂或者提供不正当利益。</w:t>
      </w:r>
    </w:p>
    <w:p w14:paraId="24F85D6F">
      <w:pPr>
        <w:pStyle w:val="26"/>
        <w:keepNext w:val="0"/>
        <w:keepLines w:val="0"/>
        <w:pageBreakBefore w:val="0"/>
        <w:widowControl w:val="0"/>
        <w:kinsoku/>
        <w:wordWrap/>
        <w:overflowPunct/>
        <w:topLinePunct w:val="0"/>
        <w:autoSpaceDE/>
        <w:autoSpaceDN/>
        <w:bidi w:val="0"/>
        <w:spacing w:line="360" w:lineRule="auto"/>
        <w:ind w:left="0" w:firstLine="420" w:firstLineChars="200"/>
        <w:rPr>
          <w:rFonts w:hint="eastAsia" w:hAnsi="宋体" w:eastAsia="宋体"/>
          <w:color w:val="000000"/>
          <w:lang w:eastAsia="zh-CN"/>
        </w:rPr>
      </w:pPr>
      <w:r>
        <w:rPr>
          <w:rFonts w:hAnsi="宋体"/>
          <w:color w:val="000000"/>
        </w:rPr>
        <w:t>17.2本工程为考核项目，考核项目包含但不限于：</w:t>
      </w:r>
      <w:r>
        <w:rPr>
          <w:rFonts w:hint="eastAsia" w:hAnsi="宋体"/>
          <w:color w:val="000000"/>
        </w:rPr>
        <w:t>修剪剥芽、施肥、病虫害防治、除草及树池维护、浇水排涝及防冻处理、保存率、卫生保洁、绿地保护及设施维护、安全生产、资料档案、发包人定期和不定期对承包范围巡查及其他</w:t>
      </w:r>
      <w:r>
        <w:rPr>
          <w:rFonts w:hint="eastAsia" w:hAnsi="宋体"/>
          <w:color w:val="000000"/>
          <w:lang w:eastAsia="zh-CN"/>
        </w:rPr>
        <w:t>。</w:t>
      </w:r>
    </w:p>
    <w:p w14:paraId="6C8E00F7">
      <w:pPr>
        <w:pStyle w:val="26"/>
        <w:keepNext w:val="0"/>
        <w:keepLines w:val="0"/>
        <w:pageBreakBefore w:val="0"/>
        <w:widowControl w:val="0"/>
        <w:kinsoku/>
        <w:wordWrap/>
        <w:overflowPunct/>
        <w:topLinePunct w:val="0"/>
        <w:autoSpaceDE/>
        <w:autoSpaceDN/>
        <w:bidi w:val="0"/>
        <w:spacing w:line="360" w:lineRule="auto"/>
        <w:ind w:left="0" w:firstLine="420" w:firstLineChars="200"/>
        <w:rPr>
          <w:rFonts w:hAnsi="宋体"/>
          <w:color w:val="000000"/>
        </w:rPr>
      </w:pPr>
      <w:r>
        <w:rPr>
          <w:rFonts w:hAnsi="宋体"/>
          <w:color w:val="000000"/>
        </w:rPr>
        <w:t>17.3考核办法，每月采用定期考核与不定期考核相结合的方式进行全面考核，定期考核以月度考核为主，不定期考核即经常性巡查及重大节日、庆典、“迎检”、“创建”等指令性检查时所进行的随机抽查考核。 </w:t>
      </w:r>
      <w:r>
        <w:rPr>
          <w:rFonts w:hAnsi="宋体"/>
          <w:color w:val="000000"/>
        </w:rPr>
        <w:br w:type="textWrapping" w:clear="all"/>
      </w:r>
      <w:r>
        <w:rPr>
          <w:rFonts w:hAnsi="宋体"/>
          <w:color w:val="000000"/>
        </w:rPr>
        <w:t xml:space="preserve">   17.4考核评分</w:t>
      </w:r>
      <w:r>
        <w:rPr>
          <w:rFonts w:hAnsi="宋体"/>
          <w:color w:val="000000"/>
        </w:rPr>
        <w:br w:type="textWrapping" w:clear="all"/>
      </w:r>
      <w:r>
        <w:rPr>
          <w:rFonts w:hAnsi="宋体"/>
          <w:color w:val="000000"/>
        </w:rPr>
        <w:t xml:space="preserve">   17.4.1考核实行百分制。根据不同类型绿地、不同季节情况、不同养护等级，各项分值可稍做调整。</w:t>
      </w:r>
      <w:r>
        <w:rPr>
          <w:rFonts w:hAnsi="宋体"/>
          <w:color w:val="000000"/>
        </w:rPr>
        <w:br w:type="textWrapping" w:clear="all"/>
      </w:r>
      <w:r>
        <w:rPr>
          <w:rFonts w:hAnsi="宋体"/>
          <w:color w:val="000000"/>
        </w:rPr>
        <w:t xml:space="preserve">   17.4.2每月考核分数由定期考核得分与不定期考核得分综合组成，定期考核得分占综合得分的70%，不定期考核得分占综合得分的30%。</w:t>
      </w:r>
      <w:r>
        <w:rPr>
          <w:rFonts w:hAnsi="宋体"/>
          <w:color w:val="000000"/>
        </w:rPr>
        <w:br w:type="textWrapping" w:clear="all"/>
      </w:r>
      <w:r>
        <w:rPr>
          <w:rFonts w:hAnsi="宋体"/>
          <w:color w:val="000000"/>
        </w:rPr>
        <w:t xml:space="preserve">   17.4.3因养护管理不当，出现以下情况的，每次加扣三分：</w:t>
      </w:r>
      <w:r>
        <w:rPr>
          <w:rFonts w:hAnsi="宋体"/>
          <w:color w:val="000000"/>
        </w:rPr>
        <w:br w:type="textWrapping" w:clear="all"/>
      </w:r>
      <w:r>
        <w:rPr>
          <w:rFonts w:hAnsi="宋体"/>
          <w:color w:val="000000"/>
        </w:rPr>
        <w:t xml:space="preserve">  （1）受到上级领导点名批评、情节严重的；</w:t>
      </w:r>
      <w:r>
        <w:rPr>
          <w:rFonts w:hAnsi="宋体"/>
          <w:color w:val="000000"/>
        </w:rPr>
        <w:br w:type="textWrapping" w:clear="all"/>
      </w:r>
      <w:r>
        <w:rPr>
          <w:rFonts w:hAnsi="宋体"/>
          <w:color w:val="000000"/>
        </w:rPr>
        <w:t xml:space="preserve">  （2）经媒体曝光查实的；</w:t>
      </w:r>
      <w:r>
        <w:rPr>
          <w:rFonts w:hAnsi="宋体"/>
          <w:color w:val="000000"/>
        </w:rPr>
        <w:br w:type="textWrapping" w:clear="all"/>
      </w:r>
      <w:r>
        <w:rPr>
          <w:rFonts w:hAnsi="宋体"/>
          <w:color w:val="000000"/>
        </w:rPr>
        <w:t xml:space="preserve">  （3）群众举报查实的；</w:t>
      </w:r>
      <w:r>
        <w:rPr>
          <w:rFonts w:hAnsi="宋体"/>
          <w:color w:val="000000"/>
        </w:rPr>
        <w:br w:type="textWrapping" w:clear="all"/>
      </w:r>
      <w:r>
        <w:rPr>
          <w:rFonts w:hAnsi="宋体"/>
          <w:color w:val="000000"/>
        </w:rPr>
        <w:t xml:space="preserve">  （4）绿化数字化管理中失分的。</w:t>
      </w:r>
      <w:r>
        <w:rPr>
          <w:rFonts w:hAnsi="宋体"/>
          <w:color w:val="000000"/>
        </w:rPr>
        <w:br w:type="textWrapping" w:clear="all"/>
      </w:r>
      <w:r>
        <w:rPr>
          <w:rFonts w:hAnsi="宋体"/>
          <w:color w:val="000000"/>
        </w:rPr>
        <w:t xml:space="preserve">   </w:t>
      </w:r>
      <w:bookmarkStart w:id="128" w:name="_Hlk67474562"/>
      <w:r>
        <w:rPr>
          <w:rFonts w:hAnsi="宋体"/>
          <w:color w:val="000000"/>
        </w:rPr>
        <w:t xml:space="preserve"> 17.4.4考核分数92分为基准分值，每低于基准分值1分，相应扣减当月养护经费贰千元。</w:t>
      </w:r>
    </w:p>
    <w:p w14:paraId="37B1B229">
      <w:pPr>
        <w:pStyle w:val="26"/>
        <w:keepNext w:val="0"/>
        <w:keepLines w:val="0"/>
        <w:pageBreakBefore w:val="0"/>
        <w:widowControl w:val="0"/>
        <w:kinsoku/>
        <w:wordWrap/>
        <w:overflowPunct/>
        <w:topLinePunct w:val="0"/>
        <w:autoSpaceDE/>
        <w:autoSpaceDN/>
        <w:bidi w:val="0"/>
        <w:spacing w:line="360" w:lineRule="auto"/>
        <w:ind w:left="0" w:firstLine="420" w:firstLineChars="200"/>
        <w:rPr>
          <w:rFonts w:hAnsi="宋体" w:eastAsia="宋体" w:cs="Times New Roman"/>
          <w:color w:val="000000"/>
        </w:rPr>
      </w:pPr>
      <w:r>
        <w:rPr>
          <w:rFonts w:hAnsi="宋体"/>
          <w:color w:val="000000"/>
        </w:rPr>
        <w:t>17.4.5</w:t>
      </w:r>
      <w:r>
        <w:rPr>
          <w:rFonts w:hAnsi="宋体"/>
          <w:color w:val="000000"/>
          <w:szCs w:val="21"/>
        </w:rPr>
        <w:t>年度考核中养护标段有三次分值低于88分的或有二次分值低于85分的或有一次分值低于80分</w:t>
      </w:r>
      <w:r>
        <w:rPr>
          <w:rFonts w:hAnsi="宋体" w:eastAsia="宋体" w:cs="Times New Roman"/>
          <w:color w:val="000000"/>
        </w:rPr>
        <w:t>的，将取消该标段中标单位养护资格，该标段重新进行招标。</w:t>
      </w:r>
    </w:p>
    <w:p w14:paraId="0238229A">
      <w:pPr>
        <w:pStyle w:val="26"/>
        <w:keepNext w:val="0"/>
        <w:keepLines w:val="0"/>
        <w:pageBreakBefore w:val="0"/>
        <w:widowControl w:val="0"/>
        <w:kinsoku/>
        <w:wordWrap/>
        <w:overflowPunct/>
        <w:topLinePunct w:val="0"/>
        <w:autoSpaceDE/>
        <w:autoSpaceDN/>
        <w:bidi w:val="0"/>
        <w:spacing w:line="360" w:lineRule="auto"/>
        <w:ind w:left="0" w:firstLine="420" w:firstLineChars="200"/>
        <w:rPr>
          <w:rFonts w:hint="eastAsia" w:ascii="宋体" w:hAnsi="宋体"/>
          <w:color w:val="000000"/>
          <w:szCs w:val="21"/>
        </w:rPr>
      </w:pPr>
      <w:r>
        <w:rPr>
          <w:rFonts w:hint="eastAsia" w:hAnsi="宋体" w:eastAsia="宋体" w:cs="Times New Roman"/>
          <w:color w:val="000000"/>
        </w:rPr>
        <w:t>17.4.6</w:t>
      </w:r>
      <w:r>
        <w:rPr>
          <w:rFonts w:hAnsi="宋体" w:eastAsia="宋体" w:cs="Times New Roman"/>
          <w:color w:val="000000"/>
        </w:rPr>
        <w:t>乙方应自觉提</w:t>
      </w:r>
      <w:r>
        <w:rPr>
          <w:color w:val="000000"/>
        </w:rPr>
        <w:t>高安全意识，做好现场安全防护措施，确保安全，</w:t>
      </w:r>
      <w:r>
        <w:rPr>
          <w:rFonts w:hint="eastAsia"/>
          <w:color w:val="000000"/>
        </w:rPr>
        <w:t>养护</w:t>
      </w:r>
      <w:r>
        <w:rPr>
          <w:color w:val="000000"/>
        </w:rPr>
        <w:t>过程中一切安全责任及措施费用概由乙方负责。在养护过程中如发生人身伤亡事故， 由乙方承担全部责任，并由乙方承担造成的经济损失和刑事责任。</w:t>
      </w:r>
      <w:r>
        <w:rPr>
          <w:rFonts w:hint="eastAsia" w:ascii="宋体" w:hAnsi="宋体" w:cs="宋体"/>
          <w:color w:val="000000"/>
          <w:szCs w:val="21"/>
        </w:rPr>
        <w:t>因养护单位未及时处理而造成财产损失、人员伤害的，养护单位需承担一切责任，如造成恶劣影响的</w:t>
      </w:r>
      <w:r>
        <w:rPr>
          <w:rFonts w:hint="eastAsia" w:ascii="宋体" w:hAnsi="宋体"/>
          <w:color w:val="000000"/>
          <w:szCs w:val="21"/>
        </w:rPr>
        <w:t>将取消其养护资格。</w:t>
      </w:r>
    </w:p>
    <w:p w14:paraId="4DD086EA">
      <w:pPr>
        <w:pStyle w:val="26"/>
        <w:keepNext w:val="0"/>
        <w:keepLines w:val="0"/>
        <w:pageBreakBefore w:val="0"/>
        <w:widowControl w:val="0"/>
        <w:kinsoku/>
        <w:wordWrap/>
        <w:overflowPunct/>
        <w:topLinePunct w:val="0"/>
        <w:autoSpaceDE/>
        <w:autoSpaceDN/>
        <w:bidi w:val="0"/>
        <w:spacing w:line="360" w:lineRule="auto"/>
        <w:ind w:left="0" w:firstLine="420" w:firstLineChars="200"/>
        <w:rPr>
          <w:rFonts w:hAnsi="宋体"/>
          <w:color w:val="000000"/>
        </w:rPr>
      </w:pPr>
      <w:r>
        <w:rPr>
          <w:rFonts w:hAnsi="宋体"/>
          <w:color w:val="000000"/>
          <w:szCs w:val="21"/>
        </w:rPr>
        <w:t>17.4.</w:t>
      </w:r>
      <w:r>
        <w:rPr>
          <w:rFonts w:hint="eastAsia" w:hAnsi="宋体"/>
          <w:color w:val="000000"/>
          <w:szCs w:val="21"/>
          <w:lang w:eastAsia="zh-CN"/>
        </w:rPr>
        <w:t>7</w:t>
      </w:r>
      <w:r>
        <w:rPr>
          <w:rFonts w:hAnsi="宋体"/>
          <w:color w:val="000000"/>
          <w:szCs w:val="21"/>
        </w:rPr>
        <w:t>接甲方通知后，乙方更换草花且草花花期不得低于3个月，更换结束需要通知甲方验收，甲方验收发现草花面积或单位面积株数不足等问题，发现一次扣减人民币叁万元。</w:t>
      </w:r>
      <w:bookmarkEnd w:id="128"/>
    </w:p>
    <w:p w14:paraId="69789A95">
      <w:pPr>
        <w:pStyle w:val="2"/>
        <w:keepNext w:val="0"/>
        <w:keepLines w:val="0"/>
        <w:pageBreakBefore w:val="0"/>
        <w:widowControl w:val="0"/>
        <w:kinsoku/>
        <w:wordWrap/>
        <w:overflowPunct/>
        <w:topLinePunct w:val="0"/>
        <w:autoSpaceDE/>
        <w:autoSpaceDN/>
        <w:bidi w:val="0"/>
        <w:spacing w:line="360" w:lineRule="auto"/>
        <w:ind w:left="0" w:firstLine="409" w:firstLineChars="195"/>
        <w:rPr>
          <w:rFonts w:hint="eastAsia"/>
          <w:color w:val="000000"/>
        </w:rPr>
      </w:pPr>
      <w:r>
        <w:rPr>
          <w:rFonts w:hint="eastAsia" w:ascii="宋体" w:hAnsi="宋体" w:eastAsia="宋体" w:cs="Calibri"/>
          <w:color w:val="000000"/>
          <w:kern w:val="2"/>
          <w:sz w:val="21"/>
          <w:szCs w:val="21"/>
          <w:lang w:val="en-US" w:eastAsia="zh-CN" w:bidi="ar-SA"/>
        </w:rPr>
        <w:t>17.4.8</w:t>
      </w:r>
      <w:r>
        <w:rPr>
          <w:rFonts w:hint="eastAsia"/>
          <w:color w:val="000000"/>
        </w:rPr>
        <w:t>每月的定期和不定期考核内发现的问题，次日以指令单形式下发给绿化养护单位，一周内未整改到位的扣减人民币1000元∕次；二周内未整改到位的扣减人民币2000元∕次；三周内未整改到位的甲方有权自行处理，处理费用由乙方承担并且不免除扣减乙方罚款费用，已</w:t>
      </w:r>
      <w:r>
        <w:rPr>
          <w:color w:val="000000"/>
        </w:rPr>
        <w:t>整改到位</w:t>
      </w:r>
      <w:r>
        <w:rPr>
          <w:rFonts w:hint="eastAsia"/>
          <w:color w:val="000000"/>
        </w:rPr>
        <w:t>的</w:t>
      </w:r>
      <w:r>
        <w:rPr>
          <w:color w:val="000000"/>
        </w:rPr>
        <w:t>，方可核发养护费用；</w:t>
      </w:r>
      <w:r>
        <w:rPr>
          <w:rFonts w:hint="eastAsia"/>
          <w:color w:val="000000"/>
        </w:rPr>
        <w:t>拒不执行指令单的</w:t>
      </w:r>
      <w:r>
        <w:rPr>
          <w:color w:val="000000"/>
        </w:rPr>
        <w:t>停发养护费用</w:t>
      </w:r>
      <w:r>
        <w:rPr>
          <w:rFonts w:hint="eastAsia"/>
          <w:color w:val="000000"/>
        </w:rPr>
        <w:t>。</w:t>
      </w:r>
    </w:p>
    <w:p w14:paraId="44878B2C">
      <w:pPr>
        <w:pStyle w:val="3"/>
        <w:keepNext w:val="0"/>
        <w:keepLines w:val="0"/>
        <w:pageBreakBefore w:val="0"/>
        <w:widowControl w:val="0"/>
        <w:pBdr>
          <w:bottom w:val="none" w:color="auto" w:sz="0" w:space="0"/>
        </w:pBdr>
        <w:kinsoku/>
        <w:wordWrap/>
        <w:overflowPunct/>
        <w:topLinePunct w:val="0"/>
        <w:autoSpaceDE/>
        <w:autoSpaceDN/>
        <w:bidi w:val="0"/>
        <w:spacing w:line="360" w:lineRule="auto"/>
        <w:ind w:left="0" w:firstLine="0"/>
        <w:rPr>
          <w:rFonts w:hAnsi="宋体"/>
          <w:color w:val="000000"/>
          <w:u w:val="single"/>
        </w:rPr>
      </w:pPr>
      <w:r>
        <w:rPr>
          <w:rFonts w:hint="eastAsia"/>
          <w:color w:val="000000"/>
        </w:rPr>
        <w:t xml:space="preserve">    </w:t>
      </w:r>
      <w:r>
        <w:rPr>
          <w:rFonts w:hint="eastAsia" w:ascii="宋体" w:hAnsi="宋体" w:eastAsia="宋体" w:cs="Calibri"/>
          <w:color w:val="000000"/>
          <w:kern w:val="2"/>
          <w:sz w:val="21"/>
          <w:szCs w:val="21"/>
          <w:lang w:val="en-US" w:eastAsia="zh-CN" w:bidi="ar-SA"/>
        </w:rPr>
        <w:t>17.5</w:t>
      </w:r>
      <w:r>
        <w:rPr>
          <w:rFonts w:hAnsi="宋体"/>
          <w:color w:val="000000"/>
        </w:rPr>
        <w:t>合同经双方及见证方法定代表人或授权代表签字并加盖单位公章后生效。</w:t>
      </w:r>
    </w:p>
    <w:p w14:paraId="7D450E84">
      <w:pPr>
        <w:pStyle w:val="26"/>
        <w:keepNext w:val="0"/>
        <w:keepLines w:val="0"/>
        <w:pageBreakBefore w:val="0"/>
        <w:widowControl w:val="0"/>
        <w:kinsoku/>
        <w:wordWrap/>
        <w:overflowPunct/>
        <w:topLinePunct w:val="0"/>
        <w:autoSpaceDE/>
        <w:autoSpaceDN/>
        <w:bidi w:val="0"/>
        <w:spacing w:line="360" w:lineRule="auto"/>
        <w:ind w:left="0" w:firstLine="420" w:firstLineChars="200"/>
        <w:rPr>
          <w:rFonts w:hAnsi="宋体"/>
          <w:color w:val="000000"/>
          <w:u w:val="single"/>
        </w:rPr>
      </w:pPr>
      <w:r>
        <w:rPr>
          <w:rFonts w:hAnsi="宋体"/>
          <w:color w:val="000000"/>
        </w:rPr>
        <w:t>17.6本合同未尽事宜，遵照《</w:t>
      </w:r>
      <w:r>
        <w:rPr>
          <w:rFonts w:hint="eastAsia" w:hAnsi="宋体"/>
          <w:color w:val="000000"/>
        </w:rPr>
        <w:t>中华人民共和国民法典</w:t>
      </w:r>
      <w:r>
        <w:rPr>
          <w:rFonts w:hAnsi="宋体"/>
          <w:color w:val="000000"/>
        </w:rPr>
        <w:t>》有关条文执行。</w:t>
      </w:r>
    </w:p>
    <w:p w14:paraId="3774FAED">
      <w:pPr>
        <w:pStyle w:val="26"/>
        <w:keepNext w:val="0"/>
        <w:keepLines w:val="0"/>
        <w:pageBreakBefore w:val="0"/>
        <w:widowControl w:val="0"/>
        <w:kinsoku/>
        <w:wordWrap/>
        <w:overflowPunct/>
        <w:topLinePunct w:val="0"/>
        <w:autoSpaceDE/>
        <w:autoSpaceDN/>
        <w:bidi w:val="0"/>
        <w:spacing w:line="360" w:lineRule="auto"/>
        <w:ind w:left="0" w:firstLine="420" w:firstLineChars="200"/>
        <w:rPr>
          <w:rFonts w:hAnsi="宋体"/>
          <w:color w:val="000000"/>
        </w:rPr>
      </w:pPr>
      <w:r>
        <w:rPr>
          <w:rFonts w:hAnsi="宋体"/>
          <w:color w:val="000000"/>
        </w:rPr>
        <w:t>17.7 本合同正本一式伍份，甲方</w:t>
      </w:r>
      <w:r>
        <w:rPr>
          <w:rFonts w:hint="eastAsia" w:hAnsi="宋体"/>
          <w:color w:val="000000"/>
          <w:lang w:val="en-US" w:eastAsia="zh-CN"/>
        </w:rPr>
        <w:t>叁</w:t>
      </w:r>
      <w:r>
        <w:rPr>
          <w:rFonts w:hAnsi="宋体"/>
          <w:color w:val="000000"/>
        </w:rPr>
        <w:t>份，乙方</w:t>
      </w:r>
      <w:r>
        <w:rPr>
          <w:rFonts w:hint="eastAsia" w:hAnsi="宋体"/>
          <w:color w:val="000000"/>
          <w:lang w:val="en-US" w:eastAsia="zh-CN"/>
        </w:rPr>
        <w:t>贰</w:t>
      </w:r>
      <w:r>
        <w:rPr>
          <w:rFonts w:hAnsi="宋体"/>
          <w:color w:val="000000"/>
        </w:rPr>
        <w:t>份，具有同等法律效力。</w:t>
      </w:r>
    </w:p>
    <w:p w14:paraId="08233FE2">
      <w:pPr>
        <w:pStyle w:val="26"/>
        <w:keepNext w:val="0"/>
        <w:keepLines w:val="0"/>
        <w:pageBreakBefore w:val="0"/>
        <w:widowControl w:val="0"/>
        <w:kinsoku/>
        <w:wordWrap/>
        <w:overflowPunct/>
        <w:topLinePunct w:val="0"/>
        <w:autoSpaceDE/>
        <w:autoSpaceDN/>
        <w:bidi w:val="0"/>
        <w:spacing w:line="360" w:lineRule="auto"/>
        <w:ind w:left="0" w:hanging="420" w:hangingChars="200"/>
        <w:rPr>
          <w:rFonts w:hAnsi="宋体"/>
          <w:color w:val="000000"/>
        </w:rPr>
      </w:pPr>
      <w:r>
        <w:rPr>
          <w:rFonts w:hAnsi="宋体"/>
          <w:color w:val="000000"/>
        </w:rPr>
        <w:t xml:space="preserve"> </w:t>
      </w:r>
    </w:p>
    <w:p w14:paraId="53C7435E">
      <w:pPr>
        <w:keepNext w:val="0"/>
        <w:keepLines w:val="0"/>
        <w:pageBreakBefore w:val="0"/>
        <w:widowControl w:val="0"/>
        <w:kinsoku/>
        <w:wordWrap/>
        <w:overflowPunct/>
        <w:topLinePunct w:val="0"/>
        <w:autoSpaceDE/>
        <w:autoSpaceDN/>
        <w:bidi w:val="0"/>
        <w:spacing w:line="400" w:lineRule="exact"/>
        <w:ind w:firstLine="210" w:firstLineChars="100"/>
        <w:rPr>
          <w:rFonts w:hint="eastAsia" w:hAnsi="宋体"/>
          <w:color w:val="000000"/>
        </w:rPr>
      </w:pPr>
      <w:r>
        <w:rPr>
          <w:rFonts w:hint="eastAsia" w:hAnsi="宋体"/>
          <w:color w:val="000000"/>
        </w:rPr>
        <w:t xml:space="preserve"> 甲方：</w:t>
      </w:r>
      <w:r>
        <w:rPr>
          <w:rFonts w:hint="eastAsia" w:ascii="宋体" w:hAnsi="宋体"/>
        </w:rPr>
        <w:t>扬州维投经营管理有限公司</w:t>
      </w:r>
      <w:r>
        <w:rPr>
          <w:rFonts w:hint="eastAsia" w:hAnsi="宋体"/>
          <w:color w:val="000000"/>
        </w:rPr>
        <w:tab/>
      </w:r>
      <w:r>
        <w:rPr>
          <w:rFonts w:hint="eastAsia" w:hAnsi="宋体"/>
          <w:color w:val="000000"/>
        </w:rPr>
        <w:tab/>
      </w:r>
      <w:r>
        <w:rPr>
          <w:rFonts w:hint="eastAsia" w:hAnsi="宋体"/>
          <w:color w:val="000000"/>
        </w:rPr>
        <w:t xml:space="preserve">   乙方： </w:t>
      </w:r>
    </w:p>
    <w:p w14:paraId="451A1206">
      <w:pPr>
        <w:keepNext w:val="0"/>
        <w:keepLines w:val="0"/>
        <w:pageBreakBefore w:val="0"/>
        <w:widowControl w:val="0"/>
        <w:kinsoku/>
        <w:wordWrap/>
        <w:overflowPunct/>
        <w:topLinePunct w:val="0"/>
        <w:autoSpaceDE/>
        <w:autoSpaceDN/>
        <w:bidi w:val="0"/>
        <w:spacing w:line="400" w:lineRule="exact"/>
        <w:ind w:firstLine="210" w:firstLineChars="100"/>
        <w:rPr>
          <w:rFonts w:hint="eastAsia" w:hAnsi="宋体"/>
          <w:color w:val="000000"/>
        </w:rPr>
      </w:pPr>
      <w:r>
        <w:rPr>
          <w:rFonts w:hint="eastAsia" w:hAnsi="宋体"/>
          <w:color w:val="000000"/>
        </w:rPr>
        <w:t xml:space="preserve"> 地址：</w:t>
      </w:r>
      <w:r>
        <w:rPr>
          <w:rFonts w:hint="eastAsia" w:hAnsi="宋体"/>
          <w:color w:val="000000"/>
        </w:rPr>
        <w:tab/>
      </w:r>
      <w:r>
        <w:rPr>
          <w:rFonts w:hint="eastAsia" w:hAnsi="宋体"/>
          <w:color w:val="000000"/>
        </w:rPr>
        <w:tab/>
      </w:r>
      <w:r>
        <w:rPr>
          <w:rFonts w:hint="eastAsia" w:hAnsi="宋体"/>
          <w:color w:val="000000"/>
        </w:rPr>
        <w:tab/>
      </w:r>
      <w:r>
        <w:rPr>
          <w:rFonts w:hint="eastAsia" w:hAnsi="宋体"/>
          <w:color w:val="000000"/>
        </w:rPr>
        <w:tab/>
      </w:r>
      <w:r>
        <w:rPr>
          <w:rFonts w:hint="eastAsia" w:hAnsi="宋体"/>
          <w:color w:val="000000"/>
        </w:rPr>
        <w:t xml:space="preserve">                   地址： </w:t>
      </w:r>
    </w:p>
    <w:p w14:paraId="69B1C771">
      <w:pPr>
        <w:keepNext w:val="0"/>
        <w:keepLines w:val="0"/>
        <w:pageBreakBefore w:val="0"/>
        <w:widowControl w:val="0"/>
        <w:kinsoku/>
        <w:wordWrap/>
        <w:overflowPunct/>
        <w:topLinePunct w:val="0"/>
        <w:autoSpaceDE/>
        <w:autoSpaceDN/>
        <w:bidi w:val="0"/>
        <w:spacing w:line="400" w:lineRule="exact"/>
        <w:ind w:firstLine="210" w:firstLineChars="100"/>
        <w:rPr>
          <w:rFonts w:hint="eastAsia" w:hAnsi="宋体"/>
          <w:color w:val="000000"/>
        </w:rPr>
      </w:pPr>
      <w:r>
        <w:rPr>
          <w:rFonts w:hint="eastAsia" w:hAnsi="宋体"/>
          <w:color w:val="000000"/>
        </w:rPr>
        <w:t xml:space="preserve"> 法定代表人或授权代表：                  法定代表人或授权代表：</w:t>
      </w:r>
    </w:p>
    <w:p w14:paraId="2AEA2A5F">
      <w:pPr>
        <w:keepNext w:val="0"/>
        <w:keepLines w:val="0"/>
        <w:pageBreakBefore w:val="0"/>
        <w:widowControl w:val="0"/>
        <w:kinsoku/>
        <w:wordWrap/>
        <w:overflowPunct/>
        <w:topLinePunct w:val="0"/>
        <w:autoSpaceDE/>
        <w:autoSpaceDN/>
        <w:bidi w:val="0"/>
        <w:spacing w:line="400" w:lineRule="exact"/>
        <w:ind w:firstLine="210" w:firstLineChars="100"/>
        <w:rPr>
          <w:rFonts w:hint="eastAsia" w:hAnsi="宋体"/>
          <w:color w:val="000000"/>
        </w:rPr>
      </w:pPr>
      <w:r>
        <w:rPr>
          <w:rFonts w:hint="eastAsia" w:hAnsi="宋体"/>
          <w:color w:val="000000"/>
        </w:rPr>
        <w:t xml:space="preserve"> 联系电话：                              联系电话：</w:t>
      </w:r>
    </w:p>
    <w:p w14:paraId="31C9C591">
      <w:pPr>
        <w:keepNext w:val="0"/>
        <w:keepLines w:val="0"/>
        <w:pageBreakBefore w:val="0"/>
        <w:widowControl w:val="0"/>
        <w:kinsoku/>
        <w:wordWrap/>
        <w:overflowPunct/>
        <w:topLinePunct w:val="0"/>
        <w:autoSpaceDE/>
        <w:autoSpaceDN/>
        <w:bidi w:val="0"/>
        <w:spacing w:line="400" w:lineRule="exact"/>
        <w:ind w:firstLine="210" w:firstLineChars="100"/>
        <w:rPr>
          <w:rFonts w:hint="eastAsia" w:hAnsi="宋体"/>
          <w:color w:val="000000"/>
        </w:rPr>
      </w:pPr>
    </w:p>
    <w:p w14:paraId="59A5E63A">
      <w:pPr>
        <w:keepNext w:val="0"/>
        <w:keepLines w:val="0"/>
        <w:pageBreakBefore w:val="0"/>
        <w:widowControl w:val="0"/>
        <w:kinsoku/>
        <w:wordWrap/>
        <w:overflowPunct/>
        <w:topLinePunct w:val="0"/>
        <w:autoSpaceDE/>
        <w:autoSpaceDN/>
        <w:bidi w:val="0"/>
        <w:spacing w:line="400" w:lineRule="exact"/>
        <w:ind w:firstLine="210" w:firstLineChars="100"/>
        <w:rPr>
          <w:rFonts w:hint="eastAsia" w:hAnsi="宋体"/>
          <w:color w:val="000000"/>
        </w:rPr>
      </w:pPr>
    </w:p>
    <w:p w14:paraId="5D128990">
      <w:pPr>
        <w:keepNext w:val="0"/>
        <w:keepLines w:val="0"/>
        <w:pageBreakBefore w:val="0"/>
        <w:widowControl w:val="0"/>
        <w:kinsoku/>
        <w:wordWrap/>
        <w:overflowPunct/>
        <w:topLinePunct w:val="0"/>
        <w:autoSpaceDE/>
        <w:autoSpaceDN/>
        <w:bidi w:val="0"/>
        <w:spacing w:line="400" w:lineRule="exact"/>
        <w:ind w:firstLine="210" w:firstLineChars="100"/>
        <w:rPr>
          <w:rFonts w:hint="eastAsia" w:hAnsi="宋体"/>
          <w:color w:val="000000"/>
        </w:rPr>
      </w:pPr>
      <w:r>
        <w:rPr>
          <w:rFonts w:hint="eastAsia" w:hAnsi="宋体"/>
          <w:color w:val="000000"/>
        </w:rPr>
        <w:t>见证方：</w:t>
      </w:r>
    </w:p>
    <w:p w14:paraId="0768E0A0">
      <w:pPr>
        <w:keepNext w:val="0"/>
        <w:keepLines w:val="0"/>
        <w:pageBreakBefore w:val="0"/>
        <w:widowControl w:val="0"/>
        <w:kinsoku/>
        <w:wordWrap/>
        <w:overflowPunct/>
        <w:topLinePunct w:val="0"/>
        <w:autoSpaceDE/>
        <w:autoSpaceDN/>
        <w:bidi w:val="0"/>
        <w:spacing w:line="400" w:lineRule="exact"/>
        <w:ind w:firstLine="210" w:firstLineChars="100"/>
        <w:rPr>
          <w:rFonts w:hint="eastAsia" w:hAnsi="宋体"/>
          <w:color w:val="000000"/>
        </w:rPr>
      </w:pPr>
      <w:r>
        <w:rPr>
          <w:rFonts w:hint="eastAsia" w:hAnsi="宋体"/>
          <w:color w:val="000000"/>
        </w:rPr>
        <w:t xml:space="preserve">法定代表人或授权代表：                                </w:t>
      </w:r>
    </w:p>
    <w:p w14:paraId="27E3951F">
      <w:pPr>
        <w:keepNext w:val="0"/>
        <w:keepLines w:val="0"/>
        <w:pageBreakBefore w:val="0"/>
        <w:widowControl w:val="0"/>
        <w:kinsoku/>
        <w:wordWrap/>
        <w:overflowPunct/>
        <w:topLinePunct w:val="0"/>
        <w:autoSpaceDE/>
        <w:autoSpaceDN/>
        <w:bidi w:val="0"/>
        <w:spacing w:line="400" w:lineRule="exact"/>
        <w:ind w:firstLine="210" w:firstLineChars="100"/>
        <w:rPr>
          <w:rFonts w:hint="eastAsia" w:hAnsi="宋体"/>
          <w:color w:val="000000"/>
        </w:rPr>
      </w:pPr>
    </w:p>
    <w:p w14:paraId="47094314">
      <w:pPr>
        <w:keepNext w:val="0"/>
        <w:keepLines w:val="0"/>
        <w:pageBreakBefore w:val="0"/>
        <w:widowControl w:val="0"/>
        <w:kinsoku/>
        <w:wordWrap/>
        <w:overflowPunct/>
        <w:topLinePunct w:val="0"/>
        <w:bidi w:val="0"/>
        <w:spacing w:line="400" w:lineRule="exact"/>
        <w:ind w:firstLine="210" w:firstLineChars="100"/>
        <w:rPr>
          <w:rFonts w:hint="eastAsia" w:hAnsi="宋体"/>
          <w:color w:val="000000"/>
        </w:rPr>
      </w:pPr>
    </w:p>
    <w:p w14:paraId="3402DF93">
      <w:pPr>
        <w:pStyle w:val="11"/>
        <w:spacing w:before="0" w:after="0" w:line="360" w:lineRule="auto"/>
        <w:jc w:val="center"/>
        <w:rPr>
          <w:rFonts w:hint="eastAsia" w:ascii="宋体" w:hAnsi="宋体" w:eastAsia="宋体" w:cs="Arial"/>
          <w:bCs/>
          <w:sz w:val="36"/>
          <w:szCs w:val="36"/>
        </w:rPr>
      </w:pPr>
      <w:r>
        <w:rPr>
          <w:rFonts w:hint="eastAsia" w:ascii="Times New Roman" w:hAnsi="宋体" w:eastAsia="宋体" w:cs="Times New Roman"/>
          <w:b w:val="0"/>
          <w:bCs w:val="0"/>
          <w:color w:val="000000"/>
          <w:kern w:val="2"/>
          <w:sz w:val="21"/>
          <w:szCs w:val="22"/>
          <w:lang w:val="en-US" w:eastAsia="zh-CN" w:bidi="ar-SA"/>
        </w:rPr>
        <w:t xml:space="preserve">日期：      年    月    日 </w:t>
      </w:r>
      <w:r>
        <w:rPr>
          <w:rFonts w:ascii="宋体" w:hAnsi="宋体" w:eastAsia="宋体" w:cs="Arial"/>
          <w:bCs/>
          <w:sz w:val="36"/>
          <w:szCs w:val="36"/>
        </w:rPr>
        <w:br w:type="page"/>
      </w:r>
      <w:r>
        <w:rPr>
          <w:rFonts w:hint="eastAsia" w:ascii="宋体" w:hAnsi="宋体" w:eastAsia="宋体" w:cs="Arial"/>
          <w:bCs/>
          <w:sz w:val="36"/>
          <w:szCs w:val="36"/>
        </w:rPr>
        <w:t>第四章 项目需求</w:t>
      </w:r>
      <w:bookmarkStart w:id="129" w:name="_Toc23828480"/>
      <w:bookmarkStart w:id="130" w:name="_Toc61149622"/>
      <w:bookmarkStart w:id="131" w:name="_Toc26554097"/>
    </w:p>
    <w:p w14:paraId="5395A7B1">
      <w:pPr>
        <w:keepNext w:val="0"/>
        <w:keepLines w:val="0"/>
        <w:pageBreakBefore w:val="0"/>
        <w:widowControl w:val="0"/>
        <w:numPr>
          <w:ilvl w:val="0"/>
          <w:numId w:val="7"/>
        </w:numPr>
        <w:kinsoku/>
        <w:wordWrap/>
        <w:overflowPunct/>
        <w:topLinePunct w:val="0"/>
        <w:bidi w:val="0"/>
        <w:spacing w:line="400" w:lineRule="exact"/>
        <w:ind w:firstLine="422" w:firstLineChars="200"/>
        <w:rPr>
          <w:rFonts w:hint="eastAsia" w:ascii="宋体" w:hAnsi="宋体" w:cs="宋体"/>
          <w:b/>
          <w:color w:val="000000"/>
          <w:kern w:val="0"/>
          <w:szCs w:val="21"/>
        </w:rPr>
      </w:pPr>
      <w:r>
        <w:rPr>
          <w:rFonts w:hint="eastAsia" w:ascii="宋体" w:hAnsi="宋体" w:cs="宋体"/>
          <w:b/>
          <w:color w:val="000000"/>
          <w:kern w:val="0"/>
          <w:szCs w:val="21"/>
        </w:rPr>
        <w:t>项目</w:t>
      </w:r>
      <w:r>
        <w:rPr>
          <w:rFonts w:hint="eastAsia" w:ascii="宋体" w:hAnsi="宋体" w:cs="宋体"/>
          <w:b/>
          <w:color w:val="000000"/>
          <w:kern w:val="0"/>
          <w:szCs w:val="21"/>
          <w:lang w:eastAsia="zh-CN"/>
        </w:rPr>
        <w:t>简介</w:t>
      </w:r>
    </w:p>
    <w:p w14:paraId="37CCC756">
      <w:pPr>
        <w:pStyle w:val="2"/>
        <w:keepNext w:val="0"/>
        <w:keepLines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1、项目名称：2025-2026西花园南绿化养护工程</w:t>
      </w:r>
    </w:p>
    <w:p w14:paraId="17F7DF05">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2、养护范围：2025-2026年度西花园南片区绿化养护，</w:t>
      </w:r>
      <w:r>
        <w:rPr>
          <w:rFonts w:hint="eastAsia" w:ascii="宋体" w:hAnsi="宋体" w:eastAsia="宋体" w:cs="Times New Roman"/>
          <w:kern w:val="2"/>
          <w:sz w:val="21"/>
          <w:szCs w:val="22"/>
          <w:lang w:val="en-US" w:eastAsia="zh-CN" w:bidi="ar-SA"/>
        </w:rPr>
        <w:t>包含但不限于南片区内所有乔木、灌木、草丛、花卉等进行浇水、修剪、除草、打药、栽植更换时令花卉等</w:t>
      </w:r>
      <w:r>
        <w:rPr>
          <w:rFonts w:hint="eastAsia" w:ascii="宋体" w:hAnsi="宋体" w:eastAsia="宋体" w:cs="宋体"/>
          <w:kern w:val="2"/>
          <w:sz w:val="21"/>
          <w:szCs w:val="22"/>
          <w:lang w:val="en-US" w:eastAsia="zh-CN" w:bidi="ar-SA"/>
        </w:rPr>
        <w:t>。</w:t>
      </w:r>
    </w:p>
    <w:p w14:paraId="6C769159">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、预算金额：</w:t>
      </w:r>
      <w:r>
        <w:rPr>
          <w:rFonts w:hint="eastAsia" w:ascii="宋体" w:hAnsi="宋体" w:eastAsia="宋体" w:cs="宋体"/>
          <w:color w:val="000000"/>
          <w:kern w:val="0"/>
          <w:szCs w:val="21"/>
          <w:lang w:val="en-US" w:eastAsia="zh-CN"/>
        </w:rPr>
        <w:t>68</w:t>
      </w:r>
      <w:r>
        <w:rPr>
          <w:rFonts w:hint="eastAsia" w:ascii="宋体" w:hAnsi="宋体" w:eastAsia="宋体" w:cs="宋体"/>
          <w:color w:val="000000"/>
          <w:kern w:val="0"/>
          <w:szCs w:val="21"/>
        </w:rPr>
        <w:t>万元</w:t>
      </w:r>
    </w:p>
    <w:p w14:paraId="166FEAE4">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、本项目设定最高限价，按照预算金额下浮7%为</w:t>
      </w:r>
      <w:r>
        <w:rPr>
          <w:rFonts w:hint="eastAsia" w:ascii="宋体" w:hAnsi="宋体" w:eastAsia="宋体" w:cs="宋体"/>
          <w:color w:val="000000"/>
          <w:kern w:val="0"/>
          <w:szCs w:val="21"/>
          <w:lang w:val="en-US" w:eastAsia="zh-CN"/>
        </w:rPr>
        <w:t>63.24</w:t>
      </w:r>
      <w:r>
        <w:rPr>
          <w:rFonts w:hint="eastAsia" w:ascii="宋体" w:hAnsi="宋体" w:eastAsia="宋体" w:cs="宋体"/>
          <w:color w:val="000000"/>
          <w:kern w:val="0"/>
          <w:szCs w:val="21"/>
        </w:rPr>
        <w:t>万元，报价超过最高限价的为无效报价，按照无效响应处理。</w:t>
      </w:r>
    </w:p>
    <w:p w14:paraId="37BE9986">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、养护面积：约</w:t>
      </w:r>
      <w:r>
        <w:rPr>
          <w:rFonts w:hint="eastAsia" w:ascii="宋体" w:hAnsi="宋体" w:eastAsia="宋体" w:cs="宋体"/>
          <w:color w:val="000000"/>
          <w:kern w:val="0"/>
          <w:szCs w:val="21"/>
          <w:lang w:val="en-US" w:eastAsia="zh-CN"/>
        </w:rPr>
        <w:t>200000</w:t>
      </w:r>
      <w:r>
        <w:rPr>
          <w:rFonts w:hint="eastAsia" w:ascii="宋体" w:hAnsi="宋体" w:eastAsia="宋体" w:cs="宋体"/>
          <w:color w:val="000000"/>
          <w:kern w:val="0"/>
          <w:szCs w:val="21"/>
        </w:rPr>
        <w:t>m²。</w:t>
      </w:r>
    </w:p>
    <w:p w14:paraId="1015AD25">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、养护等级：绿化二级养护。</w:t>
      </w:r>
    </w:p>
    <w:p w14:paraId="180A593D">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lang w:val="en-US" w:eastAsia="zh-CN"/>
        </w:rPr>
        <w:t>7</w:t>
      </w:r>
      <w:r>
        <w:rPr>
          <w:rFonts w:hint="eastAsia" w:ascii="宋体" w:hAnsi="宋体" w:eastAsia="宋体" w:cs="宋体"/>
          <w:color w:val="000000"/>
        </w:rPr>
        <w:t>、养护期：二级养护一年。</w:t>
      </w:r>
    </w:p>
    <w:p w14:paraId="0540B1B2">
      <w:pPr>
        <w:keepNext w:val="0"/>
        <w:keepLines w:val="0"/>
        <w:pageBreakBefore w:val="0"/>
        <w:widowControl w:val="0"/>
        <w:kinsoku/>
        <w:wordWrap/>
        <w:overflowPunct/>
        <w:topLinePunct w:val="0"/>
        <w:autoSpaceDE w:val="0"/>
        <w:autoSpaceDN w:val="0"/>
        <w:bidi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、投标单价中包含更换草花的费用，根据甲方指令一年至少更换4次时令花卉</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每次更换面积至少为660m²,100</w:t>
      </w:r>
      <w:r>
        <w:rPr>
          <w:rFonts w:hint="eastAsia" w:ascii="宋体" w:hAnsi="宋体" w:eastAsia="宋体" w:cs="宋体"/>
          <w:color w:val="000000"/>
          <w:kern w:val="0"/>
          <w:szCs w:val="21"/>
          <w:lang w:val="en-US" w:eastAsia="zh-CN"/>
        </w:rPr>
        <w:t>株</w:t>
      </w:r>
      <w:r>
        <w:rPr>
          <w:rFonts w:hint="eastAsia" w:ascii="宋体" w:hAnsi="宋体" w:eastAsia="宋体" w:cs="宋体"/>
          <w:color w:val="000000"/>
          <w:kern w:val="0"/>
          <w:szCs w:val="21"/>
        </w:rPr>
        <w:t>/m²</w:t>
      </w:r>
      <w:r>
        <w:rPr>
          <w:rFonts w:hint="eastAsia" w:ascii="宋体" w:hAnsi="宋体" w:cs="宋体"/>
          <w:color w:val="000000"/>
          <w:kern w:val="0"/>
          <w:sz w:val="21"/>
          <w:szCs w:val="21"/>
          <w:vertAlign w:val="superscript"/>
          <w:lang w:val="en-US" w:eastAsia="zh-CN"/>
        </w:rPr>
        <w:t xml:space="preserve"> </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且草花花期不得低于3个月。</w:t>
      </w:r>
    </w:p>
    <w:p w14:paraId="4A114F27">
      <w:pPr>
        <w:keepNext w:val="0"/>
        <w:keepLines w:val="0"/>
        <w:pageBreakBefore w:val="0"/>
        <w:widowControl w:val="0"/>
        <w:numPr>
          <w:ilvl w:val="0"/>
          <w:numId w:val="8"/>
        </w:numPr>
        <w:kinsoku/>
        <w:wordWrap/>
        <w:overflowPunct/>
        <w:topLinePunct w:val="0"/>
        <w:bidi w:val="0"/>
        <w:spacing w:line="400" w:lineRule="exact"/>
        <w:ind w:firstLine="422" w:firstLineChars="200"/>
        <w:rPr>
          <w:rFonts w:hint="eastAsia" w:ascii="宋体" w:hAnsi="宋体" w:cs="宋体"/>
          <w:szCs w:val="21"/>
        </w:rPr>
      </w:pPr>
      <w:r>
        <w:rPr>
          <w:rFonts w:hint="eastAsia" w:ascii="宋体" w:hAnsi="宋体" w:cs="宋体"/>
          <w:b/>
          <w:color w:val="000000"/>
          <w:kern w:val="0"/>
          <w:szCs w:val="21"/>
          <w:lang w:val="en-US" w:eastAsia="zh-CN"/>
        </w:rPr>
        <w:t>绿化养护标准</w:t>
      </w:r>
    </w:p>
    <w:p w14:paraId="08D1A1D6">
      <w:pPr>
        <w:keepNext w:val="0"/>
        <w:keepLines w:val="0"/>
        <w:pageBreakBefore w:val="0"/>
        <w:widowControl w:val="0"/>
        <w:numPr>
          <w:ilvl w:val="0"/>
          <w:numId w:val="0"/>
        </w:numPr>
        <w:kinsoku/>
        <w:wordWrap/>
        <w:overflowPunct/>
        <w:topLinePunct w:val="0"/>
        <w:bidi w:val="0"/>
        <w:spacing w:line="400" w:lineRule="exact"/>
        <w:ind w:firstLine="422" w:firstLineChars="200"/>
        <w:rPr>
          <w:rFonts w:hint="eastAsia" w:ascii="宋体" w:hAnsi="宋体" w:cs="宋体"/>
          <w:szCs w:val="21"/>
        </w:rPr>
      </w:pPr>
      <w:r>
        <w:rPr>
          <w:rFonts w:hint="eastAsia" w:ascii="宋体" w:hAnsi="宋体" w:cs="宋体"/>
          <w:b/>
          <w:bCs/>
          <w:szCs w:val="21"/>
          <w:lang w:val="en-US" w:eastAsia="zh-CN"/>
        </w:rPr>
        <w:t>1、</w:t>
      </w:r>
      <w:r>
        <w:rPr>
          <w:rFonts w:hint="eastAsia" w:ascii="宋体" w:hAnsi="宋体" w:cs="宋体"/>
          <w:b/>
          <w:bCs/>
          <w:szCs w:val="21"/>
        </w:rPr>
        <w:t>乔木养护管理标准</w:t>
      </w:r>
    </w:p>
    <w:p w14:paraId="5B69F50D">
      <w:pPr>
        <w:numPr>
          <w:ilvl w:val="0"/>
          <w:numId w:val="9"/>
        </w:numPr>
        <w:spacing w:line="360" w:lineRule="auto"/>
        <w:ind w:left="0" w:firstLine="420" w:firstLineChars="200"/>
        <w:rPr>
          <w:rFonts w:hint="eastAsia" w:ascii="宋体" w:hAnsi="宋体" w:cs="宋体"/>
          <w:szCs w:val="21"/>
        </w:rPr>
      </w:pPr>
      <w:r>
        <w:rPr>
          <w:rFonts w:hint="eastAsia" w:ascii="宋体" w:hAnsi="宋体" w:cs="宋体"/>
          <w:szCs w:val="21"/>
        </w:rPr>
        <w:t>生长势正常，枝叶正常，无枯枝残叶；</w:t>
      </w:r>
    </w:p>
    <w:p w14:paraId="024E5B9A">
      <w:pPr>
        <w:numPr>
          <w:ilvl w:val="0"/>
          <w:numId w:val="9"/>
        </w:numPr>
        <w:spacing w:line="360" w:lineRule="auto"/>
        <w:ind w:left="0" w:firstLine="420" w:firstLineChars="200"/>
        <w:rPr>
          <w:rFonts w:hint="eastAsia" w:ascii="宋体" w:hAnsi="宋体" w:cs="宋体"/>
          <w:szCs w:val="21"/>
        </w:rPr>
      </w:pPr>
      <w:r>
        <w:rPr>
          <w:rFonts w:hint="eastAsia" w:ascii="宋体" w:hAnsi="宋体" w:cs="宋体"/>
          <w:szCs w:val="21"/>
        </w:rPr>
        <w:t>充分考虑树木与环境的关系，依据树龄及生长势强弱进行修剪；</w:t>
      </w:r>
    </w:p>
    <w:p w14:paraId="4998E3BB">
      <w:pPr>
        <w:numPr>
          <w:ilvl w:val="0"/>
          <w:numId w:val="9"/>
        </w:numPr>
        <w:spacing w:line="360" w:lineRule="auto"/>
        <w:ind w:left="0" w:firstLine="420" w:firstLineChars="200"/>
        <w:rPr>
          <w:rFonts w:hint="eastAsia" w:ascii="宋体" w:hAnsi="宋体" w:cs="宋体"/>
          <w:szCs w:val="21"/>
        </w:rPr>
      </w:pPr>
      <w:r>
        <w:rPr>
          <w:rFonts w:hint="eastAsia" w:ascii="宋体" w:hAnsi="宋体" w:cs="宋体"/>
          <w:szCs w:val="21"/>
        </w:rPr>
        <w:t>及时剪去干枯枝叶和病枝；</w:t>
      </w:r>
    </w:p>
    <w:p w14:paraId="45CA6EF7">
      <w:pPr>
        <w:numPr>
          <w:ilvl w:val="0"/>
          <w:numId w:val="9"/>
        </w:numPr>
        <w:spacing w:line="360" w:lineRule="auto"/>
        <w:ind w:left="0" w:firstLine="420" w:firstLineChars="200"/>
        <w:rPr>
          <w:rFonts w:hint="eastAsia" w:ascii="宋体" w:hAnsi="宋体" w:cs="宋体"/>
          <w:szCs w:val="21"/>
        </w:rPr>
      </w:pPr>
      <w:r>
        <w:rPr>
          <w:rFonts w:hint="eastAsia" w:ascii="宋体" w:hAnsi="宋体" w:cs="宋体"/>
          <w:szCs w:val="21"/>
        </w:rPr>
        <w:t>适时灌溉、施肥，对高龄树木进行复壮；</w:t>
      </w:r>
    </w:p>
    <w:p w14:paraId="023D293C">
      <w:pPr>
        <w:numPr>
          <w:ilvl w:val="0"/>
          <w:numId w:val="9"/>
        </w:numPr>
        <w:spacing w:line="360" w:lineRule="auto"/>
        <w:ind w:left="0" w:firstLine="420" w:firstLineChars="200"/>
        <w:rPr>
          <w:rFonts w:hint="eastAsia" w:ascii="宋体" w:hAnsi="宋体" w:cs="宋体"/>
          <w:szCs w:val="21"/>
        </w:rPr>
      </w:pPr>
      <w:r>
        <w:rPr>
          <w:rFonts w:hint="eastAsia" w:ascii="宋体" w:hAnsi="宋体" w:cs="宋体"/>
          <w:szCs w:val="21"/>
        </w:rPr>
        <w:t>及时补植，力求苗木、规格等与原有的接近；</w:t>
      </w:r>
    </w:p>
    <w:p w14:paraId="534ECDFE">
      <w:pPr>
        <w:numPr>
          <w:ilvl w:val="0"/>
          <w:numId w:val="9"/>
        </w:numPr>
        <w:spacing w:line="360" w:lineRule="auto"/>
        <w:ind w:left="0" w:firstLine="420" w:firstLineChars="200"/>
        <w:rPr>
          <w:rFonts w:hint="eastAsia" w:ascii="宋体" w:hAnsi="宋体" w:cs="宋体"/>
          <w:szCs w:val="21"/>
        </w:rPr>
      </w:pPr>
      <w:r>
        <w:rPr>
          <w:rFonts w:hint="eastAsia" w:ascii="宋体" w:hAnsi="宋体" w:cs="宋体"/>
          <w:szCs w:val="21"/>
        </w:rPr>
        <w:t>病虫害防治，以防为主，精心管理、早发现早处理。</w:t>
      </w:r>
    </w:p>
    <w:p w14:paraId="022E4133">
      <w:pPr>
        <w:numPr>
          <w:ilvl w:val="0"/>
          <w:numId w:val="0"/>
        </w:numPr>
        <w:spacing w:line="360" w:lineRule="auto"/>
        <w:ind w:leftChars="200"/>
        <w:rPr>
          <w:rFonts w:hint="eastAsia"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花灌木养护管理标准</w:t>
      </w:r>
    </w:p>
    <w:p w14:paraId="768A2DB6">
      <w:pPr>
        <w:numPr>
          <w:ilvl w:val="0"/>
          <w:numId w:val="10"/>
        </w:numPr>
        <w:spacing w:line="360" w:lineRule="auto"/>
        <w:ind w:left="0" w:firstLine="420" w:firstLineChars="200"/>
        <w:rPr>
          <w:rFonts w:hint="eastAsia" w:ascii="宋体" w:hAnsi="宋体" w:cs="宋体"/>
          <w:szCs w:val="21"/>
        </w:rPr>
      </w:pPr>
      <w:r>
        <w:rPr>
          <w:rFonts w:hint="eastAsia" w:ascii="宋体" w:hAnsi="宋体" w:cs="宋体"/>
          <w:szCs w:val="21"/>
        </w:rPr>
        <w:t>生长势正常，无枯枝残叶；</w:t>
      </w:r>
    </w:p>
    <w:p w14:paraId="65991704">
      <w:pPr>
        <w:numPr>
          <w:ilvl w:val="0"/>
          <w:numId w:val="10"/>
        </w:numPr>
        <w:spacing w:line="360" w:lineRule="auto"/>
        <w:ind w:left="0" w:firstLine="420" w:firstLineChars="200"/>
        <w:rPr>
          <w:rFonts w:hint="eastAsia" w:ascii="宋体" w:hAnsi="宋体" w:cs="宋体"/>
          <w:szCs w:val="21"/>
        </w:rPr>
      </w:pPr>
      <w:r>
        <w:rPr>
          <w:rFonts w:hint="eastAsia" w:ascii="宋体" w:hAnsi="宋体" w:cs="宋体"/>
          <w:szCs w:val="21"/>
        </w:rPr>
        <w:t>造型美观，与环境协调；花灌木可适时开花，及时修剪残花败叶；</w:t>
      </w:r>
    </w:p>
    <w:p w14:paraId="3F3E3060">
      <w:pPr>
        <w:numPr>
          <w:ilvl w:val="0"/>
          <w:numId w:val="10"/>
        </w:numPr>
        <w:spacing w:line="360" w:lineRule="auto"/>
        <w:ind w:left="0" w:firstLine="420" w:firstLineChars="200"/>
        <w:rPr>
          <w:rFonts w:hint="eastAsia" w:ascii="宋体" w:hAnsi="宋体" w:cs="宋体"/>
          <w:szCs w:val="21"/>
        </w:rPr>
      </w:pPr>
      <w:r>
        <w:rPr>
          <w:rFonts w:hint="eastAsia" w:ascii="宋体" w:hAnsi="宋体" w:cs="宋体"/>
          <w:szCs w:val="21"/>
        </w:rPr>
        <w:t>根据生长及开花特性进行合理灌溉和施肥；</w:t>
      </w:r>
    </w:p>
    <w:p w14:paraId="756F707D">
      <w:pPr>
        <w:numPr>
          <w:ilvl w:val="0"/>
          <w:numId w:val="10"/>
        </w:numPr>
        <w:spacing w:line="360" w:lineRule="auto"/>
        <w:ind w:left="0" w:firstLine="420" w:firstLineChars="200"/>
        <w:rPr>
          <w:rFonts w:hint="eastAsia" w:ascii="宋体" w:hAnsi="宋体" w:cs="宋体"/>
          <w:szCs w:val="21"/>
        </w:rPr>
      </w:pPr>
      <w:r>
        <w:rPr>
          <w:rFonts w:hint="eastAsia" w:ascii="宋体" w:hAnsi="宋体" w:cs="宋体"/>
          <w:szCs w:val="21"/>
        </w:rPr>
        <w:t>及时防除杂草；</w:t>
      </w:r>
    </w:p>
    <w:p w14:paraId="56966565">
      <w:pPr>
        <w:numPr>
          <w:ilvl w:val="0"/>
          <w:numId w:val="10"/>
        </w:numPr>
        <w:spacing w:line="360" w:lineRule="auto"/>
        <w:ind w:left="0" w:firstLine="420" w:firstLineChars="200"/>
        <w:rPr>
          <w:rFonts w:hint="eastAsia" w:ascii="宋体" w:hAnsi="宋体" w:cs="宋体"/>
          <w:szCs w:val="21"/>
        </w:rPr>
      </w:pPr>
      <w:r>
        <w:rPr>
          <w:rFonts w:hint="eastAsia" w:ascii="宋体" w:hAnsi="宋体" w:cs="宋体"/>
          <w:szCs w:val="21"/>
        </w:rPr>
        <w:t>病虫害防治，以防为主，精心管理，早发现早处理。</w:t>
      </w:r>
    </w:p>
    <w:p w14:paraId="544CDE54">
      <w:pPr>
        <w:numPr>
          <w:ilvl w:val="0"/>
          <w:numId w:val="0"/>
        </w:numPr>
        <w:spacing w:line="360" w:lineRule="auto"/>
        <w:ind w:leftChars="200"/>
        <w:rPr>
          <w:rFonts w:hint="eastAsia" w:ascii="宋体" w:hAnsi="宋体" w:cs="宋体"/>
          <w:szCs w:val="21"/>
        </w:rPr>
      </w:pPr>
      <w:r>
        <w:rPr>
          <w:rFonts w:hint="eastAsia" w:ascii="宋体" w:hAnsi="宋体" w:cs="宋体"/>
          <w:b/>
          <w:bCs/>
          <w:szCs w:val="21"/>
          <w:lang w:val="en-US" w:eastAsia="zh-CN"/>
        </w:rPr>
        <w:t>3、</w:t>
      </w:r>
      <w:r>
        <w:rPr>
          <w:rFonts w:hint="eastAsia" w:ascii="宋体" w:hAnsi="宋体" w:cs="宋体"/>
          <w:b/>
          <w:bCs/>
          <w:szCs w:val="21"/>
        </w:rPr>
        <w:t>绿篱、色块养护管理标准</w:t>
      </w:r>
    </w:p>
    <w:p w14:paraId="1B2CE93C">
      <w:pPr>
        <w:numPr>
          <w:ilvl w:val="0"/>
          <w:numId w:val="11"/>
        </w:numPr>
        <w:spacing w:line="360" w:lineRule="auto"/>
        <w:ind w:left="0" w:firstLine="420" w:firstLineChars="200"/>
        <w:rPr>
          <w:rFonts w:hint="eastAsia" w:ascii="宋体" w:hAnsi="宋体" w:cs="宋体"/>
          <w:szCs w:val="21"/>
        </w:rPr>
      </w:pPr>
      <w:r>
        <w:rPr>
          <w:rFonts w:hint="eastAsia" w:ascii="宋体" w:hAnsi="宋体" w:cs="宋体"/>
          <w:szCs w:val="21"/>
        </w:rPr>
        <w:t>修剪应使轮廓清楚，线条整齐，每年整形修剪不少于2次；</w:t>
      </w:r>
    </w:p>
    <w:p w14:paraId="2833ACCF">
      <w:pPr>
        <w:numPr>
          <w:ilvl w:val="0"/>
          <w:numId w:val="11"/>
        </w:numPr>
        <w:spacing w:line="360" w:lineRule="auto"/>
        <w:ind w:left="0" w:firstLine="420" w:firstLineChars="200"/>
        <w:rPr>
          <w:rFonts w:hint="eastAsia" w:ascii="宋体" w:hAnsi="宋体" w:cs="宋体"/>
          <w:szCs w:val="21"/>
        </w:rPr>
      </w:pPr>
      <w:r>
        <w:rPr>
          <w:rFonts w:hint="eastAsia" w:ascii="宋体" w:hAnsi="宋体" w:cs="宋体"/>
          <w:szCs w:val="21"/>
        </w:rPr>
        <w:t>修剪后残留的枝叶应及时清除干净；</w:t>
      </w:r>
    </w:p>
    <w:p w14:paraId="7BC3F85A">
      <w:pPr>
        <w:numPr>
          <w:ilvl w:val="0"/>
          <w:numId w:val="11"/>
        </w:numPr>
        <w:spacing w:line="360" w:lineRule="auto"/>
        <w:ind w:left="0" w:firstLine="420" w:firstLineChars="200"/>
        <w:rPr>
          <w:rFonts w:hint="eastAsia" w:ascii="宋体" w:hAnsi="宋体" w:cs="宋体"/>
          <w:szCs w:val="21"/>
        </w:rPr>
      </w:pPr>
      <w:r>
        <w:rPr>
          <w:rFonts w:hint="eastAsia" w:ascii="宋体" w:hAnsi="宋体" w:cs="宋体"/>
          <w:szCs w:val="21"/>
        </w:rPr>
        <w:t>适时灌溉和施肥、防治病虫害及杂草。</w:t>
      </w:r>
    </w:p>
    <w:p w14:paraId="2E0B4C9E">
      <w:pPr>
        <w:numPr>
          <w:ilvl w:val="0"/>
          <w:numId w:val="0"/>
        </w:numPr>
        <w:spacing w:line="360" w:lineRule="auto"/>
        <w:ind w:leftChars="200"/>
        <w:rPr>
          <w:rFonts w:hint="eastAsia" w:ascii="宋体" w:hAnsi="宋体" w:cs="宋体"/>
          <w:b/>
          <w:bCs/>
          <w:szCs w:val="21"/>
        </w:rPr>
      </w:pPr>
      <w:r>
        <w:rPr>
          <w:rFonts w:hint="eastAsia" w:ascii="宋体" w:hAnsi="宋体" w:cs="宋体"/>
          <w:b/>
          <w:bCs/>
          <w:szCs w:val="21"/>
          <w:lang w:val="en-US" w:eastAsia="zh-CN"/>
        </w:rPr>
        <w:t>4、</w:t>
      </w:r>
      <w:r>
        <w:rPr>
          <w:rFonts w:hint="eastAsia" w:ascii="宋体" w:hAnsi="宋体" w:cs="宋体"/>
          <w:b/>
          <w:bCs/>
          <w:szCs w:val="21"/>
        </w:rPr>
        <w:t>草坪养护管理标准</w:t>
      </w:r>
    </w:p>
    <w:p w14:paraId="6D85A2F5">
      <w:pPr>
        <w:numPr>
          <w:ilvl w:val="0"/>
          <w:numId w:val="12"/>
        </w:numPr>
        <w:spacing w:line="360" w:lineRule="auto"/>
        <w:ind w:left="0" w:firstLine="420" w:firstLineChars="200"/>
        <w:rPr>
          <w:rFonts w:hint="eastAsia" w:ascii="宋体" w:hAnsi="宋体" w:cs="宋体"/>
          <w:szCs w:val="21"/>
        </w:rPr>
      </w:pPr>
      <w:r>
        <w:rPr>
          <w:rFonts w:hint="eastAsia" w:ascii="宋体" w:hAnsi="宋体" w:cs="宋体"/>
          <w:szCs w:val="21"/>
        </w:rPr>
        <w:t>根据绿地条件和草坪的功能进行养护管理；</w:t>
      </w:r>
    </w:p>
    <w:p w14:paraId="31E648AA">
      <w:pPr>
        <w:numPr>
          <w:ilvl w:val="0"/>
          <w:numId w:val="12"/>
        </w:numPr>
        <w:spacing w:line="360" w:lineRule="auto"/>
        <w:ind w:left="0" w:firstLine="420" w:firstLineChars="200"/>
        <w:rPr>
          <w:rFonts w:hint="eastAsia" w:ascii="宋体" w:hAnsi="宋体" w:cs="宋体"/>
          <w:szCs w:val="21"/>
        </w:rPr>
      </w:pPr>
      <w:r>
        <w:rPr>
          <w:rFonts w:hint="eastAsia" w:ascii="宋体" w:hAnsi="宋体" w:cs="宋体"/>
          <w:szCs w:val="21"/>
        </w:rPr>
        <w:t>草坪草生长旺盛，生机勃勃，整齐雅观，覆盖率达≥90%，杂草率≤5%，绿期240天以上，无明显坑洼积水，裸露地及时补植、补种；</w:t>
      </w:r>
    </w:p>
    <w:p w14:paraId="7A22F86A">
      <w:pPr>
        <w:numPr>
          <w:ilvl w:val="0"/>
          <w:numId w:val="12"/>
        </w:numPr>
        <w:spacing w:line="360" w:lineRule="auto"/>
        <w:ind w:left="0" w:firstLine="420" w:firstLineChars="200"/>
        <w:rPr>
          <w:rFonts w:hint="eastAsia" w:ascii="宋体" w:hAnsi="宋体" w:cs="宋体"/>
          <w:szCs w:val="21"/>
        </w:rPr>
      </w:pPr>
      <w:r>
        <w:rPr>
          <w:rFonts w:hint="eastAsia" w:ascii="宋体" w:hAnsi="宋体" w:cs="宋体"/>
          <w:szCs w:val="21"/>
        </w:rPr>
        <w:t>根据不同草种的特性和观赏效果、使用方向，进行定期修剪，使草坪的高度一致，边缘整齐；</w:t>
      </w:r>
    </w:p>
    <w:p w14:paraId="65F948E6">
      <w:pPr>
        <w:numPr>
          <w:ilvl w:val="0"/>
          <w:numId w:val="12"/>
        </w:numPr>
        <w:spacing w:line="360" w:lineRule="auto"/>
        <w:ind w:left="0" w:firstLine="420" w:firstLineChars="200"/>
        <w:rPr>
          <w:rFonts w:hint="eastAsia" w:ascii="宋体" w:hAnsi="宋体" w:cs="宋体"/>
          <w:szCs w:val="21"/>
        </w:rPr>
      </w:pPr>
      <w:r>
        <w:rPr>
          <w:rFonts w:hint="eastAsia" w:ascii="宋体" w:hAnsi="宋体" w:cs="宋体"/>
          <w:szCs w:val="21"/>
        </w:rPr>
        <w:t>草坪的留茬高度、修剪次数因草坪草种类、季节、环境等因素而定，切实遵守“1/3”原则；</w:t>
      </w:r>
    </w:p>
    <w:p w14:paraId="5EE63D79">
      <w:pPr>
        <w:numPr>
          <w:ilvl w:val="0"/>
          <w:numId w:val="12"/>
        </w:numPr>
        <w:spacing w:line="360" w:lineRule="auto"/>
        <w:ind w:left="0" w:firstLine="420" w:firstLineChars="200"/>
        <w:rPr>
          <w:rFonts w:hint="eastAsia" w:ascii="宋体" w:hAnsi="宋体" w:cs="宋体"/>
          <w:szCs w:val="21"/>
        </w:rPr>
      </w:pPr>
      <w:r>
        <w:rPr>
          <w:rFonts w:hint="eastAsia" w:ascii="宋体" w:hAnsi="宋体" w:cs="宋体"/>
          <w:szCs w:val="21"/>
        </w:rPr>
        <w:t>草坪灌溉应适时、适量，务必灌好返青水和越冬水；</w:t>
      </w:r>
    </w:p>
    <w:p w14:paraId="1BCD8B35">
      <w:pPr>
        <w:numPr>
          <w:ilvl w:val="0"/>
          <w:numId w:val="12"/>
        </w:numPr>
        <w:spacing w:line="360" w:lineRule="auto"/>
        <w:ind w:left="0" w:firstLine="420" w:firstLineChars="200"/>
        <w:rPr>
          <w:rFonts w:hint="eastAsia" w:ascii="宋体" w:hAnsi="宋体" w:cs="宋体"/>
          <w:szCs w:val="21"/>
        </w:rPr>
      </w:pPr>
      <w:r>
        <w:rPr>
          <w:rFonts w:hint="eastAsia" w:ascii="宋体" w:hAnsi="宋体" w:cs="宋体"/>
          <w:szCs w:val="21"/>
        </w:rPr>
        <w:t>草坪施肥时期、施肥量应根据草坪草的生长状况而定，施肥必须均匀，颗粒型追肥应及时灌水；</w:t>
      </w:r>
    </w:p>
    <w:p w14:paraId="482EFCCB">
      <w:pPr>
        <w:numPr>
          <w:ilvl w:val="0"/>
          <w:numId w:val="12"/>
        </w:numPr>
        <w:spacing w:line="360" w:lineRule="auto"/>
        <w:ind w:left="0" w:firstLine="420" w:firstLineChars="200"/>
        <w:rPr>
          <w:rFonts w:hint="eastAsia" w:ascii="宋体" w:hAnsi="宋体" w:cs="宋体"/>
          <w:szCs w:val="21"/>
        </w:rPr>
      </w:pPr>
      <w:r>
        <w:rPr>
          <w:rFonts w:hint="eastAsia" w:ascii="宋体" w:hAnsi="宋体" w:cs="宋体"/>
          <w:szCs w:val="21"/>
        </w:rPr>
        <w:t>及时进行病虫害防治，清除杂草；</w:t>
      </w:r>
    </w:p>
    <w:p w14:paraId="49B10529">
      <w:pPr>
        <w:numPr>
          <w:ilvl w:val="0"/>
          <w:numId w:val="0"/>
        </w:numPr>
        <w:spacing w:line="360" w:lineRule="auto"/>
        <w:ind w:leftChars="200"/>
        <w:rPr>
          <w:rFonts w:hint="eastAsia" w:ascii="宋体" w:hAnsi="宋体" w:cs="宋体"/>
          <w:b/>
          <w:bCs/>
          <w:szCs w:val="21"/>
        </w:rPr>
      </w:pPr>
      <w:r>
        <w:rPr>
          <w:rFonts w:hint="eastAsia" w:ascii="宋体" w:hAnsi="宋体" w:cs="宋体"/>
          <w:b/>
          <w:bCs/>
          <w:szCs w:val="21"/>
          <w:lang w:val="en-US" w:eastAsia="zh-CN"/>
        </w:rPr>
        <w:t>5、</w:t>
      </w:r>
      <w:r>
        <w:rPr>
          <w:rFonts w:hint="eastAsia" w:ascii="宋体" w:hAnsi="宋体" w:cs="宋体"/>
          <w:b/>
          <w:bCs/>
          <w:szCs w:val="21"/>
        </w:rPr>
        <w:t>绿地及设施的容貌</w:t>
      </w:r>
    </w:p>
    <w:p w14:paraId="6B0EE7F1">
      <w:pPr>
        <w:numPr>
          <w:ilvl w:val="0"/>
          <w:numId w:val="13"/>
        </w:numPr>
        <w:spacing w:line="360" w:lineRule="auto"/>
        <w:ind w:left="0" w:firstLine="420" w:firstLineChars="200"/>
        <w:rPr>
          <w:rFonts w:hint="eastAsia" w:ascii="宋体" w:hAnsi="宋体" w:cs="宋体"/>
          <w:szCs w:val="21"/>
        </w:rPr>
      </w:pPr>
      <w:r>
        <w:rPr>
          <w:rFonts w:hint="eastAsia" w:ascii="宋体" w:hAnsi="宋体" w:cs="宋体"/>
          <w:szCs w:val="21"/>
        </w:rPr>
        <w:t>随时保持绿地清洁、美观。</w:t>
      </w:r>
    </w:p>
    <w:p w14:paraId="4CED8589">
      <w:pPr>
        <w:numPr>
          <w:ilvl w:val="0"/>
          <w:numId w:val="13"/>
        </w:numPr>
        <w:spacing w:line="360" w:lineRule="auto"/>
        <w:ind w:left="0" w:firstLine="420" w:firstLineChars="200"/>
        <w:rPr>
          <w:rFonts w:hint="eastAsia" w:ascii="宋体" w:hAnsi="宋体" w:cs="宋体"/>
          <w:szCs w:val="21"/>
        </w:rPr>
      </w:pPr>
      <w:r>
        <w:rPr>
          <w:rFonts w:hint="eastAsia" w:ascii="宋体" w:hAnsi="宋体" w:cs="宋体"/>
          <w:szCs w:val="21"/>
        </w:rPr>
        <w:t>及时清运草屑、树枝、死树等施工残留物，现场堆放时间不得超过当天。</w:t>
      </w:r>
    </w:p>
    <w:p w14:paraId="79985307">
      <w:pPr>
        <w:keepNext w:val="0"/>
        <w:keepLines w:val="0"/>
        <w:pageBreakBefore w:val="0"/>
        <w:widowControl w:val="0"/>
        <w:kinsoku/>
        <w:wordWrap/>
        <w:overflowPunct/>
        <w:topLinePunct w:val="0"/>
        <w:bidi w:val="0"/>
        <w:spacing w:line="400" w:lineRule="exact"/>
        <w:ind w:firstLine="422" w:firstLineChars="200"/>
        <w:rPr>
          <w:rFonts w:hint="eastAsia" w:ascii="宋体" w:hAnsi="宋体" w:cs="宋体"/>
          <w:b/>
          <w:color w:val="000000"/>
          <w:szCs w:val="21"/>
        </w:rPr>
      </w:pPr>
      <w:r>
        <w:rPr>
          <w:rFonts w:hint="eastAsia" w:ascii="宋体" w:hAnsi="宋体" w:cs="宋体"/>
          <w:b/>
          <w:color w:val="000000"/>
          <w:szCs w:val="21"/>
        </w:rPr>
        <w:t>三、考核要求</w:t>
      </w:r>
    </w:p>
    <w:p w14:paraId="26F1D2F7">
      <w:pPr>
        <w:keepNext w:val="0"/>
        <w:keepLines w:val="0"/>
        <w:pageBreakBefore w:val="0"/>
        <w:widowControl w:val="0"/>
        <w:kinsoku/>
        <w:wordWrap/>
        <w:overflowPunct/>
        <w:topLinePunct w:val="0"/>
        <w:bidi w:val="0"/>
        <w:spacing w:line="400" w:lineRule="exact"/>
        <w:ind w:firstLine="420" w:firstLineChars="200"/>
        <w:rPr>
          <w:rFonts w:hint="eastAsia" w:ascii="宋体" w:hAnsi="宋体"/>
          <w:b/>
          <w:color w:val="000000"/>
          <w:szCs w:val="21"/>
        </w:rPr>
      </w:pPr>
      <w:r>
        <w:rPr>
          <w:rFonts w:hint="eastAsia" w:ascii="宋体" w:hAnsi="宋体"/>
          <w:color w:val="000000"/>
          <w:szCs w:val="21"/>
          <w:lang w:val="en-US" w:eastAsia="zh-CN"/>
        </w:rPr>
        <w:t>1</w:t>
      </w:r>
      <w:r>
        <w:rPr>
          <w:rFonts w:hint="eastAsia" w:ascii="宋体" w:hAnsi="宋体"/>
          <w:color w:val="000000"/>
          <w:szCs w:val="21"/>
        </w:rPr>
        <w:t>、考核要求</w:t>
      </w:r>
    </w:p>
    <w:p w14:paraId="4C73A497">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为促进扬州市城市绿地养护管理工作规范化、制度化，进一步强化考核工作，提高养护管理水平，</w:t>
      </w:r>
      <w:r>
        <w:rPr>
          <w:rFonts w:hint="eastAsia" w:ascii="宋体" w:hAnsi="宋体" w:cs="宋体"/>
          <w:color w:val="000000"/>
          <w:szCs w:val="21"/>
        </w:rPr>
        <w:t>根据《江苏省城市园林绿化养护管理规范及分级标准》及《扬州市市区城市绿化养护管理考核办法（试行）》</w:t>
      </w:r>
      <w:r>
        <w:rPr>
          <w:rFonts w:hint="eastAsia" w:ascii="宋体" w:hAnsi="宋体"/>
          <w:color w:val="000000"/>
          <w:szCs w:val="21"/>
        </w:rPr>
        <w:t>，</w:t>
      </w:r>
      <w:r>
        <w:rPr>
          <w:rFonts w:hint="eastAsia" w:ascii="宋体" w:hAnsi="宋体" w:cs="宋体"/>
          <w:color w:val="000000"/>
          <w:szCs w:val="21"/>
        </w:rPr>
        <w:t>结合绿化实际情况，</w:t>
      </w:r>
      <w:r>
        <w:rPr>
          <w:rFonts w:hint="eastAsia" w:ascii="宋体" w:hAnsi="宋体"/>
          <w:color w:val="000000"/>
          <w:szCs w:val="21"/>
        </w:rPr>
        <w:t>制定本考核细则。</w:t>
      </w:r>
    </w:p>
    <w:p w14:paraId="739D7DE8">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（1）、考核范围</w:t>
      </w:r>
    </w:p>
    <w:p w14:paraId="3F491947">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中标单位所中标的绿化养护管理区域。</w:t>
      </w:r>
    </w:p>
    <w:p w14:paraId="2B5EA186">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（2）、考核要求</w:t>
      </w:r>
    </w:p>
    <w:p w14:paraId="6F9B2E11">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发包人代表负责绿地养护管理的日常验收考核工作。有关考核人员应遵循公开、公平、公正的原则，认真、严格地考核评分，确保考核工作扎实有效。</w:t>
      </w:r>
    </w:p>
    <w:p w14:paraId="52B54D70">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每月考核结果由扬州维投</w:t>
      </w:r>
      <w:r>
        <w:rPr>
          <w:rFonts w:hint="eastAsia" w:ascii="宋体" w:hAnsi="宋体"/>
          <w:color w:val="000000"/>
          <w:szCs w:val="21"/>
          <w:lang w:val="en-US" w:eastAsia="zh-CN"/>
        </w:rPr>
        <w:t>经营</w:t>
      </w:r>
      <w:r>
        <w:rPr>
          <w:rFonts w:hint="eastAsia" w:ascii="宋体" w:hAnsi="宋体"/>
          <w:color w:val="000000"/>
          <w:szCs w:val="21"/>
        </w:rPr>
        <w:t>管理有限公司在次月初以书面形式通知养护单位。</w:t>
      </w:r>
    </w:p>
    <w:p w14:paraId="7BC781A1">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（3）、考核项目</w:t>
      </w:r>
    </w:p>
    <w:p w14:paraId="19573331">
      <w:pPr>
        <w:keepNext w:val="0"/>
        <w:keepLines w:val="0"/>
        <w:pageBreakBefore w:val="0"/>
        <w:widowControl w:val="0"/>
        <w:kinsoku/>
        <w:wordWrap/>
        <w:overflowPunct/>
        <w:topLinePunct w:val="0"/>
        <w:bidi w:val="0"/>
        <w:spacing w:line="400" w:lineRule="exact"/>
        <w:ind w:firstLine="482"/>
        <w:rPr>
          <w:rFonts w:hint="eastAsia" w:ascii="宋体" w:hAnsi="宋体" w:eastAsia="宋体"/>
          <w:color w:val="000000"/>
          <w:szCs w:val="21"/>
          <w:lang w:eastAsia="zh-CN"/>
        </w:rPr>
      </w:pPr>
      <w:r>
        <w:rPr>
          <w:rFonts w:hint="eastAsia" w:ascii="宋体" w:hAnsi="宋体"/>
          <w:color w:val="000000"/>
          <w:szCs w:val="21"/>
        </w:rPr>
        <w:t>考核项目分：修剪剥芽、施肥、病虫害防治、除草及树池维护、浇水排涝及防冻处理、保存率、卫生保洁、绿地保护及设施维护、安全生产、资料档案、发包人定期和不定期对承包范围巡查及其他</w:t>
      </w:r>
      <w:r>
        <w:rPr>
          <w:rFonts w:hint="eastAsia" w:ascii="宋体" w:hAnsi="宋体"/>
          <w:color w:val="000000"/>
          <w:szCs w:val="21"/>
          <w:lang w:eastAsia="zh-CN"/>
        </w:rPr>
        <w:t>。</w:t>
      </w:r>
    </w:p>
    <w:p w14:paraId="2993C173">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（4）、考核办法</w:t>
      </w:r>
    </w:p>
    <w:p w14:paraId="7FB5F8F0">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每月采用定期考核与巡查考核相结合的方式进行全面考核。</w:t>
      </w:r>
    </w:p>
    <w:p w14:paraId="03ED35AE">
      <w:pPr>
        <w:keepNext w:val="0"/>
        <w:keepLines w:val="0"/>
        <w:pageBreakBefore w:val="0"/>
        <w:widowControl w:val="0"/>
        <w:kinsoku/>
        <w:wordWrap/>
        <w:overflowPunct/>
        <w:topLinePunct w:val="0"/>
        <w:bidi w:val="0"/>
        <w:spacing w:line="400" w:lineRule="exact"/>
        <w:ind w:firstLine="420" w:firstLineChars="200"/>
        <w:rPr>
          <w:rFonts w:hint="eastAsia" w:ascii="宋体" w:hAnsi="宋体"/>
          <w:color w:val="000000"/>
          <w:szCs w:val="21"/>
        </w:rPr>
      </w:pPr>
      <w:r>
        <w:rPr>
          <w:rFonts w:hint="eastAsia" w:ascii="宋体" w:hAnsi="宋体"/>
          <w:color w:val="000000"/>
          <w:szCs w:val="21"/>
        </w:rPr>
        <w:t>①定期考核：每个月下旬由发包人进行专项考核，当次考核人员考核的平均分即为当月得分。</w:t>
      </w:r>
    </w:p>
    <w:p w14:paraId="5635565C">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②巡查考核：由发包人代表不定期进行巡查，一旦发现问题及时通报养护负责人，在规定整改时间内整改到位不予追加扣分，否则，在月底考核内扣除相应的分数。</w:t>
      </w:r>
    </w:p>
    <w:p w14:paraId="1DAA9437">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（5）、考核评分</w:t>
      </w:r>
    </w:p>
    <w:p w14:paraId="514B275F">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①考核实行百分制</w:t>
      </w:r>
    </w:p>
    <w:p w14:paraId="1D5ACB61">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u w:val="single"/>
        </w:rPr>
      </w:pPr>
      <w:r>
        <w:rPr>
          <w:rFonts w:hint="eastAsia" w:ascii="宋体" w:hAnsi="宋体"/>
          <w:color w:val="000000"/>
          <w:szCs w:val="21"/>
        </w:rPr>
        <w:t>②因养护管理不当，出现以下情况的，每次加扣三分：</w:t>
      </w:r>
    </w:p>
    <w:p w14:paraId="3CAE6B48">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受到上级领导点名批评、情节严重的</w:t>
      </w:r>
      <w:r>
        <w:rPr>
          <w:rFonts w:hint="eastAsia" w:ascii="宋体" w:hAnsi="宋体"/>
          <w:color w:val="000000"/>
          <w:szCs w:val="21"/>
          <w:lang w:eastAsia="zh-CN"/>
        </w:rPr>
        <w:t>；</w:t>
      </w:r>
      <w:r>
        <w:rPr>
          <w:rFonts w:hint="eastAsia" w:ascii="宋体" w:hAnsi="宋体"/>
          <w:color w:val="000000"/>
          <w:szCs w:val="21"/>
        </w:rPr>
        <w:t>经媒体曝光查实的；群众举报查实的</w:t>
      </w:r>
      <w:r>
        <w:rPr>
          <w:rFonts w:hint="eastAsia" w:ascii="宋体" w:hAnsi="宋体"/>
          <w:color w:val="000000"/>
          <w:szCs w:val="21"/>
          <w:lang w:eastAsia="zh-CN"/>
        </w:rPr>
        <w:t>；</w:t>
      </w:r>
      <w:r>
        <w:rPr>
          <w:rFonts w:hint="eastAsia" w:ascii="宋体" w:hAnsi="宋体"/>
          <w:color w:val="000000"/>
          <w:szCs w:val="21"/>
        </w:rPr>
        <w:t>未按时处理绿化数字化案件而失分的。</w:t>
      </w:r>
    </w:p>
    <w:p w14:paraId="1133AFEE">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③考核分数92分为基准分值，当月考核得分率为100%，每低于基准分1分，</w:t>
      </w:r>
      <w:r>
        <w:rPr>
          <w:rFonts w:ascii="宋体" w:hAnsi="宋体"/>
          <w:color w:val="000000"/>
          <w:szCs w:val="21"/>
        </w:rPr>
        <w:t>相应扣减当月养护经费贰千元</w:t>
      </w:r>
      <w:r>
        <w:rPr>
          <w:rFonts w:hint="eastAsia" w:ascii="宋体" w:hAnsi="宋体"/>
          <w:color w:val="000000"/>
          <w:szCs w:val="21"/>
        </w:rPr>
        <w:t>。</w:t>
      </w:r>
    </w:p>
    <w:p w14:paraId="38A873F5">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④年度考核中养护标段有三次分值低于88分的或有二次分值低于85分的或有一次分值低于80分的，将取消该标段中标单位养护资格，该标段重新进行招标。</w:t>
      </w:r>
    </w:p>
    <w:p w14:paraId="21AC23D5">
      <w:pPr>
        <w:keepNext w:val="0"/>
        <w:keepLines w:val="0"/>
        <w:pageBreakBefore w:val="0"/>
        <w:widowControl w:val="0"/>
        <w:kinsoku/>
        <w:wordWrap/>
        <w:overflowPunct/>
        <w:topLinePunct w:val="0"/>
        <w:bidi w:val="0"/>
        <w:spacing w:line="400" w:lineRule="exact"/>
        <w:ind w:firstLine="420" w:firstLineChars="200"/>
        <w:rPr>
          <w:rFonts w:hint="eastAsia" w:hAnsi="宋体"/>
          <w:color w:val="000000"/>
          <w:szCs w:val="21"/>
        </w:rPr>
      </w:pPr>
      <w:bookmarkStart w:id="132" w:name="_Hlk67474581"/>
      <w:r>
        <w:rPr>
          <w:rFonts w:hint="eastAsia" w:ascii="宋体" w:hAnsi="宋体" w:cs="宋体"/>
          <w:color w:val="000000"/>
          <w:szCs w:val="21"/>
        </w:rPr>
        <w:t>⑤</w:t>
      </w:r>
      <w:bookmarkEnd w:id="132"/>
      <w:r>
        <w:rPr>
          <w:rFonts w:hAnsi="宋体"/>
          <w:color w:val="000000"/>
          <w:szCs w:val="21"/>
        </w:rPr>
        <w:t>接甲方通知后，乙方更换草花且草花花期不得低于3个月，更换结束需要通知甲方验收，甲方验收发现草花面积或单位面积株数不足等问题，发现一次扣减人民币叁万元。</w:t>
      </w:r>
    </w:p>
    <w:p w14:paraId="7EE9B432">
      <w:pPr>
        <w:keepNext w:val="0"/>
        <w:keepLines w:val="0"/>
        <w:pageBreakBefore w:val="0"/>
        <w:widowControl w:val="0"/>
        <w:kinsoku/>
        <w:wordWrap/>
        <w:overflowPunct/>
        <w:topLinePunct w:val="0"/>
        <w:bidi w:val="0"/>
        <w:spacing w:line="400" w:lineRule="exact"/>
        <w:ind w:firstLine="420" w:firstLineChars="200"/>
        <w:rPr>
          <w:rFonts w:hint="eastAsia"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、处罚</w:t>
      </w:r>
    </w:p>
    <w:p w14:paraId="409A6B2F">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（1）养护单位</w:t>
      </w:r>
      <w:r>
        <w:rPr>
          <w:rFonts w:hint="eastAsia" w:ascii="宋体" w:hAnsi="宋体" w:cs="宋体"/>
          <w:color w:val="000000"/>
          <w:szCs w:val="21"/>
        </w:rPr>
        <w:t>应在规定期限内完成对考核中发现问题的整改，限期内未整改或未整改到位的，发包人代表将派出人员进行处理，所产生一切费用，在养护单位当月养护经费中扣除</w:t>
      </w:r>
      <w:r>
        <w:rPr>
          <w:rFonts w:hint="eastAsia" w:ascii="宋体" w:hAnsi="宋体"/>
          <w:color w:val="000000"/>
          <w:szCs w:val="21"/>
        </w:rPr>
        <w:t>。</w:t>
      </w:r>
    </w:p>
    <w:p w14:paraId="62116116">
      <w:pPr>
        <w:keepNext w:val="0"/>
        <w:keepLines w:val="0"/>
        <w:pageBreakBefore w:val="0"/>
        <w:widowControl w:val="0"/>
        <w:kinsoku/>
        <w:wordWrap/>
        <w:overflowPunct/>
        <w:topLinePunct w:val="0"/>
        <w:bidi w:val="0"/>
        <w:spacing w:line="400" w:lineRule="exact"/>
        <w:ind w:firstLine="482"/>
        <w:rPr>
          <w:rFonts w:hint="eastAsia" w:ascii="宋体" w:hAnsi="宋体" w:cs="宋体"/>
          <w:color w:val="000000"/>
          <w:szCs w:val="21"/>
        </w:rPr>
      </w:pPr>
      <w:r>
        <w:rPr>
          <w:rFonts w:hint="eastAsia" w:ascii="宋体" w:hAnsi="宋体"/>
          <w:color w:val="000000"/>
          <w:szCs w:val="21"/>
        </w:rPr>
        <w:t>（2）</w:t>
      </w:r>
      <w:r>
        <w:rPr>
          <w:rFonts w:hint="eastAsia" w:ascii="宋体" w:hAnsi="宋体" w:cs="宋体"/>
          <w:color w:val="000000"/>
          <w:szCs w:val="21"/>
        </w:rPr>
        <w:t>养护单位在养护管理期内造成绿化死亡的，养护单位应造价赔偿或者自行补栽相对应的植物，且质量、规格、数量必须经发包人的认可；限期内未整改或未整改到位的，发包人将派出人员进行处理，所产生一切费用，在养护单位当月养护经费中扣除。</w:t>
      </w:r>
    </w:p>
    <w:p w14:paraId="2AD8BA28">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、安全要求</w:t>
      </w:r>
    </w:p>
    <w:p w14:paraId="50EA821A">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（1）在养护期间，中标单位承担养护管理范围内的一切安全责任。</w:t>
      </w:r>
    </w:p>
    <w:p w14:paraId="6490D78D">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（2）因台风、暴雨、暴雪、交通事故或设施损坏等因素而突发紧急情况时，养护单位必须第一时间组织人员抢险救灾，排除安全隐患并将具体情况、处理费用报</w:t>
      </w:r>
      <w:r>
        <w:rPr>
          <w:rFonts w:hint="eastAsia" w:ascii="宋体" w:hAnsi="宋体" w:cs="宋体"/>
          <w:color w:val="000000"/>
          <w:szCs w:val="21"/>
        </w:rPr>
        <w:t>发包人职能科室审核</w:t>
      </w:r>
      <w:r>
        <w:rPr>
          <w:rFonts w:hint="eastAsia" w:ascii="宋体" w:hAnsi="宋体"/>
          <w:color w:val="000000"/>
          <w:szCs w:val="21"/>
        </w:rPr>
        <w:t>。</w:t>
      </w:r>
      <w:r>
        <w:rPr>
          <w:rFonts w:hint="eastAsia" w:ascii="宋体" w:hAnsi="宋体" w:cs="宋体"/>
          <w:color w:val="000000"/>
          <w:szCs w:val="21"/>
        </w:rPr>
        <w:t>如养护单位未及时处理，发包人将派出人员进行处理，所产生的一切费用，在当年的绿化养护费中支付。因养护单位未及时处理而造成财产损失、人员伤害的，养护单位需承担一切责任，如造成恶劣影响的</w:t>
      </w:r>
      <w:r>
        <w:rPr>
          <w:rFonts w:hint="eastAsia" w:ascii="宋体" w:hAnsi="宋体"/>
          <w:color w:val="000000"/>
          <w:szCs w:val="21"/>
        </w:rPr>
        <w:t>将取消其养护资格。</w:t>
      </w:r>
    </w:p>
    <w:p w14:paraId="35274116">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、补充说明</w:t>
      </w:r>
    </w:p>
    <w:p w14:paraId="4F22CDDC">
      <w:pPr>
        <w:keepNext w:val="0"/>
        <w:keepLines w:val="0"/>
        <w:pageBreakBefore w:val="0"/>
        <w:widowControl w:val="0"/>
        <w:kinsoku/>
        <w:wordWrap/>
        <w:overflowPunct/>
        <w:topLinePunct w:val="0"/>
        <w:bidi w:val="0"/>
        <w:spacing w:line="400" w:lineRule="exact"/>
        <w:ind w:firstLine="482"/>
        <w:rPr>
          <w:rFonts w:hint="eastAsia" w:ascii="宋体" w:hAnsi="宋体"/>
          <w:color w:val="000000"/>
          <w:szCs w:val="21"/>
        </w:rPr>
      </w:pPr>
      <w:r>
        <w:rPr>
          <w:rFonts w:hint="eastAsia" w:ascii="宋体" w:hAnsi="宋体"/>
          <w:color w:val="000000"/>
          <w:szCs w:val="21"/>
        </w:rPr>
        <w:t>自合同签订以后，若发生政策性调整或不可抗力等因素而需终止合同的（例如政府区域重新调整、绿地苗木迁移等），则双方自行终止合同，互不承担责任。</w:t>
      </w:r>
    </w:p>
    <w:p w14:paraId="49D803D2">
      <w:pPr>
        <w:pStyle w:val="2"/>
        <w:rPr>
          <w:rFonts w:eastAsia="宋体"/>
          <w:lang w:val="en-US" w:eastAsia="zh-CN"/>
        </w:rPr>
      </w:pPr>
      <w:r>
        <w:rPr>
          <w:rFonts w:hint="eastAsia" w:ascii="宋体" w:hAnsi="宋体"/>
          <w:color w:val="000000"/>
          <w:szCs w:val="21"/>
          <w:lang w:val="en-US" w:eastAsia="zh-CN"/>
        </w:rPr>
        <w:t>5、考核细则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5"/>
        <w:gridCol w:w="3783"/>
        <w:gridCol w:w="4450"/>
        <w:gridCol w:w="593"/>
      </w:tblGrid>
      <w:tr w14:paraId="22DF7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055" w:type="dxa"/>
            <w:vAlign w:val="center"/>
          </w:tcPr>
          <w:p w14:paraId="504B30B3">
            <w:pPr>
              <w:keepNext w:val="0"/>
              <w:keepLines w:val="0"/>
              <w:suppressLineNumbers w:val="0"/>
              <w:spacing w:before="0" w:beforeAutospacing="0" w:after="0" w:afterAutospacing="0" w:line="400" w:lineRule="exact"/>
              <w:ind w:left="0" w:right="0"/>
              <w:jc w:val="center"/>
              <w:rPr>
                <w:rFonts w:hint="eastAsia" w:ascii="宋体" w:hAnsi="宋体" w:cs="宋体"/>
                <w:b/>
                <w:bCs/>
                <w:szCs w:val="21"/>
              </w:rPr>
            </w:pPr>
            <w:r>
              <w:rPr>
                <w:rFonts w:hint="eastAsia" w:ascii="宋体" w:hAnsi="宋体" w:cs="宋体"/>
                <w:b/>
                <w:bCs/>
                <w:szCs w:val="21"/>
              </w:rPr>
              <w:t>项目</w:t>
            </w:r>
          </w:p>
          <w:p w14:paraId="38C2F20B">
            <w:pPr>
              <w:keepNext w:val="0"/>
              <w:keepLines w:val="0"/>
              <w:suppressLineNumbers w:val="0"/>
              <w:spacing w:before="0" w:beforeAutospacing="0" w:after="0" w:afterAutospacing="0" w:line="400" w:lineRule="exact"/>
              <w:ind w:left="0" w:right="0"/>
              <w:jc w:val="center"/>
              <w:rPr>
                <w:rFonts w:hint="eastAsia" w:ascii="宋体" w:hAnsi="宋体" w:cs="宋体"/>
                <w:b/>
                <w:bCs/>
                <w:szCs w:val="21"/>
              </w:rPr>
            </w:pPr>
            <w:r>
              <w:rPr>
                <w:rFonts w:hint="eastAsia" w:ascii="宋体" w:hAnsi="宋体" w:cs="宋体"/>
                <w:b/>
                <w:bCs/>
                <w:szCs w:val="21"/>
              </w:rPr>
              <w:t>名称</w:t>
            </w:r>
          </w:p>
        </w:tc>
        <w:tc>
          <w:tcPr>
            <w:tcW w:w="3783" w:type="dxa"/>
            <w:vAlign w:val="center"/>
          </w:tcPr>
          <w:p w14:paraId="5DD2D701">
            <w:pPr>
              <w:keepNext w:val="0"/>
              <w:keepLines w:val="0"/>
              <w:suppressLineNumbers w:val="0"/>
              <w:spacing w:before="0" w:beforeAutospacing="0" w:after="0" w:afterAutospacing="0" w:line="400" w:lineRule="exact"/>
              <w:ind w:left="0" w:right="0"/>
              <w:jc w:val="center"/>
              <w:rPr>
                <w:rFonts w:hint="eastAsia" w:ascii="宋体" w:hAnsi="宋体" w:cs="宋体"/>
                <w:b/>
                <w:bCs/>
                <w:szCs w:val="21"/>
              </w:rPr>
            </w:pPr>
            <w:r>
              <w:rPr>
                <w:rFonts w:hint="eastAsia" w:ascii="宋体" w:hAnsi="宋体" w:cs="宋体"/>
                <w:b/>
                <w:bCs/>
                <w:szCs w:val="21"/>
              </w:rPr>
              <w:t>考核细则及工作要求</w:t>
            </w:r>
          </w:p>
        </w:tc>
        <w:tc>
          <w:tcPr>
            <w:tcW w:w="4450" w:type="dxa"/>
            <w:vAlign w:val="center"/>
          </w:tcPr>
          <w:p w14:paraId="5B2A13D2">
            <w:pPr>
              <w:keepNext w:val="0"/>
              <w:keepLines w:val="0"/>
              <w:suppressLineNumbers w:val="0"/>
              <w:spacing w:before="0" w:beforeAutospacing="0" w:after="0" w:afterAutospacing="0" w:line="400" w:lineRule="exact"/>
              <w:ind w:left="0" w:right="0"/>
              <w:jc w:val="center"/>
              <w:rPr>
                <w:rFonts w:hint="eastAsia" w:ascii="宋体" w:hAnsi="宋体" w:cs="宋体"/>
                <w:b/>
                <w:bCs/>
                <w:szCs w:val="21"/>
              </w:rPr>
            </w:pPr>
            <w:r>
              <w:rPr>
                <w:rFonts w:hint="eastAsia" w:ascii="宋体" w:hAnsi="宋体" w:cs="宋体"/>
                <w:b/>
                <w:bCs/>
                <w:szCs w:val="21"/>
              </w:rPr>
              <w:t>扣分标准</w:t>
            </w:r>
          </w:p>
        </w:tc>
        <w:tc>
          <w:tcPr>
            <w:tcW w:w="593" w:type="dxa"/>
            <w:vAlign w:val="center"/>
          </w:tcPr>
          <w:p w14:paraId="4BCF649F">
            <w:pPr>
              <w:keepNext w:val="0"/>
              <w:keepLines w:val="0"/>
              <w:suppressLineNumbers w:val="0"/>
              <w:spacing w:before="0" w:beforeAutospacing="0" w:after="0" w:afterAutospacing="0" w:line="400" w:lineRule="exact"/>
              <w:ind w:left="0" w:right="0"/>
              <w:jc w:val="center"/>
              <w:rPr>
                <w:rFonts w:hint="eastAsia" w:ascii="宋体" w:hAnsi="宋体" w:cs="宋体"/>
                <w:b/>
                <w:bCs/>
                <w:szCs w:val="21"/>
              </w:rPr>
            </w:pPr>
            <w:r>
              <w:rPr>
                <w:rFonts w:hint="eastAsia" w:ascii="宋体" w:hAnsi="宋体" w:cs="宋体"/>
                <w:b/>
                <w:bCs/>
                <w:szCs w:val="21"/>
              </w:rPr>
              <w:t>扣分</w:t>
            </w:r>
          </w:p>
        </w:tc>
      </w:tr>
      <w:tr w14:paraId="79998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55" w:type="dxa"/>
            <w:vMerge w:val="restart"/>
            <w:vAlign w:val="center"/>
          </w:tcPr>
          <w:p w14:paraId="2F84B1F7">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r>
              <w:rPr>
                <w:rFonts w:hint="eastAsia" w:ascii="宋体" w:hAnsi="宋体" w:cs="宋体"/>
                <w:bCs/>
                <w:szCs w:val="21"/>
              </w:rPr>
              <w:t>修剪</w:t>
            </w:r>
          </w:p>
          <w:p w14:paraId="3D039386">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r>
              <w:rPr>
                <w:rFonts w:hint="eastAsia" w:ascii="宋体" w:hAnsi="宋体" w:cs="宋体"/>
                <w:bCs/>
                <w:szCs w:val="21"/>
              </w:rPr>
              <w:t>剥芽</w:t>
            </w:r>
          </w:p>
          <w:p w14:paraId="3F93058E">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r>
              <w:rPr>
                <w:rFonts w:hint="eastAsia" w:ascii="宋体" w:hAnsi="宋体" w:cs="宋体"/>
                <w:bCs/>
                <w:szCs w:val="21"/>
              </w:rPr>
              <w:t>（16分）</w:t>
            </w:r>
          </w:p>
        </w:tc>
        <w:tc>
          <w:tcPr>
            <w:tcW w:w="3783" w:type="dxa"/>
            <w:vMerge w:val="restart"/>
            <w:vAlign w:val="center"/>
          </w:tcPr>
          <w:p w14:paraId="32172C10">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乔木（行道树）</w:t>
            </w:r>
          </w:p>
          <w:p w14:paraId="135382E2">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1、根据树木生长习性，及时修剪定形，截口平整，不拉伤树皮，截口涂抹防腐剂；无枯枝危枝，生长季节无异常黄叶；                  </w:t>
            </w:r>
          </w:p>
          <w:p w14:paraId="63359F14">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2、同一路段相同树种的行道树,树形留养一致，枝条分布均匀； </w:t>
            </w:r>
          </w:p>
          <w:p w14:paraId="66A8F228">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3、妥善处理树线、树屋矛盾，无事故隐患；</w:t>
            </w:r>
          </w:p>
          <w:p w14:paraId="0AD685CC">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4、根据树种确定剥芽次数及剥芽部位。剥芽需及时，芽长不超过10cm；剥芽时不允许拉伤树皮。</w:t>
            </w:r>
          </w:p>
        </w:tc>
        <w:tc>
          <w:tcPr>
            <w:tcW w:w="4450" w:type="dxa"/>
            <w:vAlign w:val="center"/>
          </w:tcPr>
          <w:p w14:paraId="33600C72">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（1）发现树皮拉伤或有异常枯黄枝叶等现象，每株每次扣0.5分。</w:t>
            </w:r>
          </w:p>
        </w:tc>
        <w:tc>
          <w:tcPr>
            <w:tcW w:w="593" w:type="dxa"/>
            <w:vAlign w:val="center"/>
          </w:tcPr>
          <w:p w14:paraId="0498B395">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w:t>
            </w:r>
          </w:p>
        </w:tc>
      </w:tr>
      <w:tr w14:paraId="54916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055" w:type="dxa"/>
            <w:vMerge w:val="continue"/>
            <w:vAlign w:val="center"/>
          </w:tcPr>
          <w:p w14:paraId="75EF1028">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continue"/>
            <w:vAlign w:val="center"/>
          </w:tcPr>
          <w:p w14:paraId="731AAC8B">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292CD8C1">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（2）发现未按树种要求修剪，每株每次扣1分</w:t>
            </w:r>
          </w:p>
        </w:tc>
        <w:tc>
          <w:tcPr>
            <w:tcW w:w="593" w:type="dxa"/>
            <w:vAlign w:val="center"/>
          </w:tcPr>
          <w:p w14:paraId="1599DFE5">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1F88E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055" w:type="dxa"/>
            <w:vMerge w:val="continue"/>
            <w:vAlign w:val="center"/>
          </w:tcPr>
          <w:p w14:paraId="61E0D07B">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continue"/>
            <w:vAlign w:val="center"/>
          </w:tcPr>
          <w:p w14:paraId="5ED8689A">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748D93C7">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（3）未及时处理树线、树屋矛盾，每处每次扣1分。</w:t>
            </w:r>
          </w:p>
        </w:tc>
        <w:tc>
          <w:tcPr>
            <w:tcW w:w="593" w:type="dxa"/>
            <w:vAlign w:val="center"/>
          </w:tcPr>
          <w:p w14:paraId="41A57B9B">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35385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055" w:type="dxa"/>
            <w:vMerge w:val="continue"/>
            <w:vAlign w:val="center"/>
          </w:tcPr>
          <w:p w14:paraId="112CA467">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continue"/>
            <w:vAlign w:val="center"/>
          </w:tcPr>
          <w:p w14:paraId="52A64A5E">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08F18F36">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（4）发现剥芽未剥清或未剥到位，每株每次扣0.5分。</w:t>
            </w:r>
          </w:p>
        </w:tc>
        <w:tc>
          <w:tcPr>
            <w:tcW w:w="593" w:type="dxa"/>
            <w:vAlign w:val="center"/>
          </w:tcPr>
          <w:p w14:paraId="3687E31C">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4E14D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1055" w:type="dxa"/>
            <w:vMerge w:val="continue"/>
            <w:vAlign w:val="center"/>
          </w:tcPr>
          <w:p w14:paraId="65A5D410">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restart"/>
            <w:vAlign w:val="center"/>
          </w:tcPr>
          <w:p w14:paraId="11C4E061">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花灌木修剪</w:t>
            </w:r>
          </w:p>
          <w:p w14:paraId="3EB531C0">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1、根据花灌木品种生长习性进行修剪、剥芽（含脚芽）；                              </w:t>
            </w:r>
          </w:p>
          <w:p w14:paraId="4D3183B9">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2、无枯枝败叶，无修后枝叶残存或散落不清。</w:t>
            </w:r>
          </w:p>
        </w:tc>
        <w:tc>
          <w:tcPr>
            <w:tcW w:w="4450" w:type="dxa"/>
            <w:vAlign w:val="center"/>
          </w:tcPr>
          <w:p w14:paraId="10DE0D52">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（1）未按要求进行修剪、剥芽，发现一株扣0.5分。</w:t>
            </w:r>
          </w:p>
        </w:tc>
        <w:tc>
          <w:tcPr>
            <w:tcW w:w="593" w:type="dxa"/>
            <w:vAlign w:val="center"/>
          </w:tcPr>
          <w:p w14:paraId="1E982078">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w:t>
            </w:r>
          </w:p>
        </w:tc>
      </w:tr>
      <w:tr w14:paraId="33217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055" w:type="dxa"/>
            <w:vMerge w:val="continue"/>
            <w:vAlign w:val="center"/>
          </w:tcPr>
          <w:p w14:paraId="472794BE">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continue"/>
            <w:vAlign w:val="center"/>
          </w:tcPr>
          <w:p w14:paraId="63611CA8">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2DE7DC74">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（2）枯枝败叶未及时清除，发现一处扣0.5分。</w:t>
            </w:r>
          </w:p>
        </w:tc>
        <w:tc>
          <w:tcPr>
            <w:tcW w:w="593" w:type="dxa"/>
            <w:vAlign w:val="center"/>
          </w:tcPr>
          <w:p w14:paraId="4A34F558">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28D98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1055" w:type="dxa"/>
            <w:vMerge w:val="continue"/>
            <w:vAlign w:val="center"/>
          </w:tcPr>
          <w:p w14:paraId="6E0D3952">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restart"/>
            <w:vAlign w:val="center"/>
          </w:tcPr>
          <w:p w14:paraId="3BF83315">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绿篱修剪    </w:t>
            </w:r>
          </w:p>
          <w:p w14:paraId="5EDECFD4">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1、修剪面整齐划一，目测一条线或光滑曲面；  </w:t>
            </w:r>
          </w:p>
          <w:p w14:paraId="46387305">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2、日常修剪及时到位，不脱脚，不得出现单枝（芽）超出5cm未剪现象。</w:t>
            </w:r>
          </w:p>
        </w:tc>
        <w:tc>
          <w:tcPr>
            <w:tcW w:w="4450" w:type="dxa"/>
            <w:vAlign w:val="center"/>
          </w:tcPr>
          <w:p w14:paraId="24495EED">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（1）修剪线条缺断或不一致，发现一处扣1分。</w:t>
            </w:r>
          </w:p>
        </w:tc>
        <w:tc>
          <w:tcPr>
            <w:tcW w:w="593" w:type="dxa"/>
            <w:vAlign w:val="center"/>
          </w:tcPr>
          <w:p w14:paraId="0C964DD3">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w:t>
            </w:r>
          </w:p>
        </w:tc>
      </w:tr>
      <w:tr w14:paraId="7D54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055" w:type="dxa"/>
            <w:vMerge w:val="continue"/>
            <w:vAlign w:val="center"/>
          </w:tcPr>
          <w:p w14:paraId="5B07A08B">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continue"/>
            <w:vAlign w:val="center"/>
          </w:tcPr>
          <w:p w14:paraId="45C15320">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24DC8CD1">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（2）修后枝叶残存，或单枝（芽）超出5cm未剪现象，发现一处扣0.5分。</w:t>
            </w:r>
          </w:p>
        </w:tc>
        <w:tc>
          <w:tcPr>
            <w:tcW w:w="593" w:type="dxa"/>
            <w:vAlign w:val="center"/>
          </w:tcPr>
          <w:p w14:paraId="3DD39890">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25FF1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055" w:type="dxa"/>
            <w:vMerge w:val="continue"/>
            <w:vAlign w:val="center"/>
          </w:tcPr>
          <w:p w14:paraId="154431FC">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restart"/>
            <w:vAlign w:val="center"/>
          </w:tcPr>
          <w:p w14:paraId="27278CDA">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地被草坪修剪   </w:t>
            </w:r>
          </w:p>
          <w:p w14:paraId="5B343818">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1、根据不同地被、草坪品种，及时修剪，其中暖季型草坪秋后最后一次需重修； </w:t>
            </w:r>
          </w:p>
          <w:p w14:paraId="19805C0D">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2、草坪中的树坑边缘应切边，保持线条清晰。                                 </w:t>
            </w:r>
          </w:p>
        </w:tc>
        <w:tc>
          <w:tcPr>
            <w:tcW w:w="4450" w:type="dxa"/>
            <w:vAlign w:val="center"/>
          </w:tcPr>
          <w:p w14:paraId="24543E7A">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（1）草坪修剪高度不一致，发现一处扣1分。</w:t>
            </w:r>
          </w:p>
        </w:tc>
        <w:tc>
          <w:tcPr>
            <w:tcW w:w="593" w:type="dxa"/>
            <w:vAlign w:val="center"/>
          </w:tcPr>
          <w:p w14:paraId="2D10ECCD">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w:t>
            </w:r>
          </w:p>
        </w:tc>
      </w:tr>
      <w:tr w14:paraId="7B763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055" w:type="dxa"/>
            <w:vMerge w:val="continue"/>
            <w:vAlign w:val="center"/>
          </w:tcPr>
          <w:p w14:paraId="061D3918">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continue"/>
            <w:vAlign w:val="center"/>
          </w:tcPr>
          <w:p w14:paraId="754F17AF">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7DA9F41B">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（2）草坪中的树坑边缘切边不平的，发现一处扣1分。</w:t>
            </w:r>
          </w:p>
        </w:tc>
        <w:tc>
          <w:tcPr>
            <w:tcW w:w="593" w:type="dxa"/>
            <w:vAlign w:val="center"/>
          </w:tcPr>
          <w:p w14:paraId="29C554F7">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4D611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055" w:type="dxa"/>
            <w:vMerge w:val="restart"/>
            <w:vAlign w:val="center"/>
          </w:tcPr>
          <w:p w14:paraId="4B70BE92">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r>
              <w:rPr>
                <w:rFonts w:hint="eastAsia" w:ascii="宋体" w:hAnsi="宋体" w:cs="宋体"/>
                <w:bCs/>
                <w:szCs w:val="21"/>
              </w:rPr>
              <w:t>施肥</w:t>
            </w:r>
          </w:p>
          <w:p w14:paraId="676DBC88">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r>
              <w:rPr>
                <w:rFonts w:hint="eastAsia" w:ascii="宋体" w:hAnsi="宋体" w:cs="宋体"/>
                <w:bCs/>
                <w:szCs w:val="21"/>
              </w:rPr>
              <w:t>（6分）</w:t>
            </w:r>
          </w:p>
        </w:tc>
        <w:tc>
          <w:tcPr>
            <w:tcW w:w="3783" w:type="dxa"/>
            <w:vMerge w:val="restart"/>
            <w:vAlign w:val="center"/>
          </w:tcPr>
          <w:p w14:paraId="180E3B2C">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1、根据植株生长势，及时追肥；</w:t>
            </w:r>
          </w:p>
          <w:p w14:paraId="27AB1336">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2、根据草坪生长势，及时施肥，用量适当，不发生灼伤现象。</w:t>
            </w:r>
          </w:p>
        </w:tc>
        <w:tc>
          <w:tcPr>
            <w:tcW w:w="4450" w:type="dxa"/>
            <w:vAlign w:val="center"/>
          </w:tcPr>
          <w:p w14:paraId="7917E598">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（1）未及时追肥，造成生长势衰弱，乔木每株扣2分，花灌木每株扣1分。</w:t>
            </w:r>
          </w:p>
        </w:tc>
        <w:tc>
          <w:tcPr>
            <w:tcW w:w="593" w:type="dxa"/>
            <w:vAlign w:val="center"/>
          </w:tcPr>
          <w:p w14:paraId="4625EE83">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w:t>
            </w:r>
          </w:p>
        </w:tc>
      </w:tr>
      <w:tr w14:paraId="5AA12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055" w:type="dxa"/>
            <w:vMerge w:val="continue"/>
            <w:vAlign w:val="center"/>
          </w:tcPr>
          <w:p w14:paraId="3E08F1CF">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continue"/>
            <w:vAlign w:val="center"/>
          </w:tcPr>
          <w:p w14:paraId="3DB39235">
            <w:pPr>
              <w:keepNext w:val="0"/>
              <w:keepLines w:val="0"/>
              <w:suppressLineNumbers w:val="0"/>
              <w:spacing w:before="0" w:beforeAutospacing="0" w:after="0" w:afterAutospacing="0" w:line="400" w:lineRule="exact"/>
              <w:ind w:left="0" w:right="0"/>
              <w:rPr>
                <w:rFonts w:hint="eastAsia" w:ascii="宋体" w:hAnsi="宋体" w:cs="宋体"/>
                <w:szCs w:val="21"/>
              </w:rPr>
            </w:pPr>
          </w:p>
        </w:tc>
        <w:tc>
          <w:tcPr>
            <w:tcW w:w="4450" w:type="dxa"/>
            <w:vAlign w:val="center"/>
          </w:tcPr>
          <w:p w14:paraId="70015925">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（2）发现施肥不及时或有灼伤现象，每次扣3分。</w:t>
            </w:r>
          </w:p>
        </w:tc>
        <w:tc>
          <w:tcPr>
            <w:tcW w:w="593" w:type="dxa"/>
            <w:vAlign w:val="center"/>
          </w:tcPr>
          <w:p w14:paraId="24BCCE51">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w:t>
            </w:r>
          </w:p>
        </w:tc>
      </w:tr>
      <w:tr w14:paraId="78766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1055" w:type="dxa"/>
            <w:vMerge w:val="restart"/>
            <w:vAlign w:val="center"/>
          </w:tcPr>
          <w:p w14:paraId="0DCA7316">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 xml:space="preserve">病虫害防治 </w:t>
            </w:r>
          </w:p>
          <w:p w14:paraId="340922D0">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r>
              <w:rPr>
                <w:rFonts w:hint="eastAsia" w:ascii="宋体" w:hAnsi="宋体" w:cs="宋体"/>
                <w:bCs/>
                <w:szCs w:val="21"/>
              </w:rPr>
              <w:t>（10分）</w:t>
            </w:r>
          </w:p>
        </w:tc>
        <w:tc>
          <w:tcPr>
            <w:tcW w:w="3783" w:type="dxa"/>
            <w:vMerge w:val="restart"/>
            <w:vAlign w:val="center"/>
          </w:tcPr>
          <w:p w14:paraId="625606D3">
            <w:pPr>
              <w:keepNext w:val="0"/>
              <w:keepLines w:val="0"/>
              <w:suppressLineNumbers w:val="0"/>
              <w:spacing w:before="0" w:beforeAutospacing="0" w:after="0" w:afterAutospacing="0" w:line="400" w:lineRule="exact"/>
              <w:ind w:left="0" w:right="0"/>
              <w:rPr>
                <w:rFonts w:hint="eastAsia" w:ascii="宋体" w:hAnsi="宋体"/>
                <w:szCs w:val="21"/>
              </w:rPr>
            </w:pPr>
          </w:p>
          <w:p w14:paraId="3FAF394B">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1、及时防治和控制病虫害的发生，无群众举报、媒体曝光事件发生；                         </w:t>
            </w:r>
          </w:p>
          <w:p w14:paraId="30C4D3F4">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cs="宋体"/>
                <w:szCs w:val="21"/>
              </w:rPr>
              <w:t>2、用药配比正确，操作安全，喷药均匀，不发生药害事故。</w:t>
            </w:r>
          </w:p>
        </w:tc>
        <w:tc>
          <w:tcPr>
            <w:tcW w:w="4450" w:type="dxa"/>
            <w:vAlign w:val="center"/>
          </w:tcPr>
          <w:p w14:paraId="28586BBB">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（1）乔木、花灌木有明显虫口、虫粪、成（幼）虫现象，发现一株扣0.5分。</w:t>
            </w:r>
          </w:p>
        </w:tc>
        <w:tc>
          <w:tcPr>
            <w:tcW w:w="593" w:type="dxa"/>
            <w:vAlign w:val="center"/>
          </w:tcPr>
          <w:p w14:paraId="058B268E">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w:t>
            </w:r>
          </w:p>
        </w:tc>
      </w:tr>
      <w:tr w14:paraId="7D781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055" w:type="dxa"/>
            <w:vMerge w:val="continue"/>
            <w:vAlign w:val="center"/>
          </w:tcPr>
          <w:p w14:paraId="7A4185B7">
            <w:pPr>
              <w:keepNext w:val="0"/>
              <w:keepLines w:val="0"/>
              <w:suppressLineNumbers w:val="0"/>
              <w:spacing w:before="0" w:beforeAutospacing="0" w:after="0" w:afterAutospacing="0" w:line="400" w:lineRule="exact"/>
              <w:ind w:left="0" w:right="0"/>
              <w:jc w:val="center"/>
              <w:rPr>
                <w:rFonts w:hint="eastAsia" w:ascii="宋体" w:hAnsi="宋体"/>
                <w:szCs w:val="21"/>
              </w:rPr>
            </w:pPr>
          </w:p>
        </w:tc>
        <w:tc>
          <w:tcPr>
            <w:tcW w:w="3783" w:type="dxa"/>
            <w:vMerge w:val="continue"/>
            <w:vAlign w:val="center"/>
          </w:tcPr>
          <w:p w14:paraId="25923057">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3254E9B2">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（2）草坪未及时进行病虫害防治，发现一次扣3分。</w:t>
            </w:r>
          </w:p>
        </w:tc>
        <w:tc>
          <w:tcPr>
            <w:tcW w:w="593" w:type="dxa"/>
            <w:vAlign w:val="center"/>
          </w:tcPr>
          <w:p w14:paraId="1535BB27">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w:t>
            </w:r>
          </w:p>
        </w:tc>
      </w:tr>
      <w:tr w14:paraId="5BDD8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jc w:val="center"/>
        </w:trPr>
        <w:tc>
          <w:tcPr>
            <w:tcW w:w="1055" w:type="dxa"/>
            <w:vMerge w:val="continue"/>
            <w:vAlign w:val="center"/>
          </w:tcPr>
          <w:p w14:paraId="7E28E226">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continue"/>
            <w:vAlign w:val="center"/>
          </w:tcPr>
          <w:p w14:paraId="0E2252EE">
            <w:pPr>
              <w:keepNext w:val="0"/>
              <w:keepLines w:val="0"/>
              <w:suppressLineNumbers w:val="0"/>
              <w:spacing w:before="0" w:beforeAutospacing="0" w:after="0" w:afterAutospacing="0" w:line="400" w:lineRule="exact"/>
              <w:ind w:left="0" w:right="0"/>
              <w:rPr>
                <w:rFonts w:hint="eastAsia" w:ascii="宋体" w:hAnsi="宋体" w:cs="宋体"/>
                <w:szCs w:val="21"/>
              </w:rPr>
            </w:pPr>
          </w:p>
        </w:tc>
        <w:tc>
          <w:tcPr>
            <w:tcW w:w="4450" w:type="dxa"/>
            <w:vAlign w:val="center"/>
          </w:tcPr>
          <w:p w14:paraId="653B02A4">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szCs w:val="21"/>
              </w:rPr>
              <w:t>（3）药液配比不正确，造成树木伤害，每株扣0.5分。</w:t>
            </w:r>
          </w:p>
        </w:tc>
        <w:tc>
          <w:tcPr>
            <w:tcW w:w="593" w:type="dxa"/>
            <w:vAlign w:val="center"/>
          </w:tcPr>
          <w:p w14:paraId="03D9F4E9">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6A29D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3" w:hRule="atLeast"/>
          <w:jc w:val="center"/>
        </w:trPr>
        <w:tc>
          <w:tcPr>
            <w:tcW w:w="1055" w:type="dxa"/>
            <w:vMerge w:val="restart"/>
            <w:vAlign w:val="center"/>
          </w:tcPr>
          <w:p w14:paraId="17A4A5AE">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r>
              <w:rPr>
                <w:rFonts w:hint="eastAsia" w:ascii="宋体" w:hAnsi="宋体" w:cs="宋体"/>
                <w:bCs/>
                <w:szCs w:val="21"/>
              </w:rPr>
              <w:t>除草及树池维护</w:t>
            </w:r>
          </w:p>
          <w:p w14:paraId="11C7BA9C">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r>
              <w:rPr>
                <w:rFonts w:hint="eastAsia" w:ascii="宋体" w:hAnsi="宋体" w:cs="宋体"/>
                <w:bCs/>
                <w:szCs w:val="21"/>
              </w:rPr>
              <w:t>（8分）</w:t>
            </w:r>
          </w:p>
        </w:tc>
        <w:tc>
          <w:tcPr>
            <w:tcW w:w="3783" w:type="dxa"/>
            <w:vMerge w:val="restart"/>
            <w:vAlign w:val="center"/>
          </w:tcPr>
          <w:p w14:paraId="739CB0D1">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1、树穴内无杂草；</w:t>
            </w:r>
          </w:p>
          <w:p w14:paraId="35BF492D">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2、及时清理绿地内杂草；</w:t>
            </w:r>
          </w:p>
          <w:p w14:paraId="1CFEED14">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3、攀缘植物的残花枯藤需及时清理干净；</w:t>
            </w:r>
          </w:p>
          <w:p w14:paraId="755ACA35">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szCs w:val="21"/>
              </w:rPr>
              <w:t>4、加强树池维护，确保树池完好。</w:t>
            </w:r>
          </w:p>
        </w:tc>
        <w:tc>
          <w:tcPr>
            <w:tcW w:w="4450" w:type="dxa"/>
            <w:vAlign w:val="center"/>
          </w:tcPr>
          <w:p w14:paraId="0EFA6657">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szCs w:val="21"/>
              </w:rPr>
              <w:t>（1）树穴杂草率高于5%，一株扣0.25分。</w:t>
            </w:r>
          </w:p>
        </w:tc>
        <w:tc>
          <w:tcPr>
            <w:tcW w:w="593" w:type="dxa"/>
            <w:vAlign w:val="center"/>
          </w:tcPr>
          <w:p w14:paraId="184B2E69">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5A92C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055" w:type="dxa"/>
            <w:vMerge w:val="continue"/>
            <w:vAlign w:val="center"/>
          </w:tcPr>
          <w:p w14:paraId="48491615">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continue"/>
            <w:vAlign w:val="center"/>
          </w:tcPr>
          <w:p w14:paraId="46EB49C1">
            <w:pPr>
              <w:keepNext w:val="0"/>
              <w:keepLines w:val="0"/>
              <w:suppressLineNumbers w:val="0"/>
              <w:spacing w:before="0" w:beforeAutospacing="0" w:after="0" w:afterAutospacing="0" w:line="400" w:lineRule="exact"/>
              <w:ind w:left="0" w:right="0"/>
              <w:rPr>
                <w:rFonts w:hint="eastAsia" w:ascii="宋体" w:hAnsi="宋体" w:cs="宋体"/>
                <w:szCs w:val="21"/>
              </w:rPr>
            </w:pPr>
          </w:p>
        </w:tc>
        <w:tc>
          <w:tcPr>
            <w:tcW w:w="4450" w:type="dxa"/>
            <w:vAlign w:val="center"/>
          </w:tcPr>
          <w:p w14:paraId="2E4AEDF8">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（2）未及时清理绿地杂草，每发现一处扣1分。</w:t>
            </w:r>
          </w:p>
        </w:tc>
        <w:tc>
          <w:tcPr>
            <w:tcW w:w="593" w:type="dxa"/>
            <w:vAlign w:val="center"/>
          </w:tcPr>
          <w:p w14:paraId="01EEBFCE">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616AF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055" w:type="dxa"/>
            <w:vMerge w:val="continue"/>
            <w:vAlign w:val="center"/>
          </w:tcPr>
          <w:p w14:paraId="373A1A4F">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continue"/>
            <w:vAlign w:val="center"/>
          </w:tcPr>
          <w:p w14:paraId="05D8A0BE">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2B9AD7E1">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（3）残花枯藤未及时清理干净，每发现一处扣1分。</w:t>
            </w:r>
          </w:p>
        </w:tc>
        <w:tc>
          <w:tcPr>
            <w:tcW w:w="593" w:type="dxa"/>
            <w:vAlign w:val="center"/>
          </w:tcPr>
          <w:p w14:paraId="1DEA849B">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1246C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055" w:type="dxa"/>
            <w:vMerge w:val="continue"/>
            <w:vAlign w:val="center"/>
          </w:tcPr>
          <w:p w14:paraId="76C6FE66">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continue"/>
            <w:vAlign w:val="center"/>
          </w:tcPr>
          <w:p w14:paraId="2D1F3B83">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19040A33">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（4）树池损坏每个扣1分。</w:t>
            </w:r>
          </w:p>
        </w:tc>
        <w:tc>
          <w:tcPr>
            <w:tcW w:w="593" w:type="dxa"/>
            <w:vAlign w:val="center"/>
          </w:tcPr>
          <w:p w14:paraId="2C30351E">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3D66D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55" w:type="dxa"/>
            <w:vMerge w:val="restart"/>
            <w:vAlign w:val="center"/>
          </w:tcPr>
          <w:p w14:paraId="3BE35493">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安全</w:t>
            </w:r>
          </w:p>
          <w:p w14:paraId="1CAB19E7">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管理</w:t>
            </w:r>
          </w:p>
          <w:p w14:paraId="79B93627">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cs="宋体"/>
                <w:bCs/>
                <w:szCs w:val="21"/>
              </w:rPr>
              <w:t>（10分）</w:t>
            </w:r>
          </w:p>
        </w:tc>
        <w:tc>
          <w:tcPr>
            <w:tcW w:w="3783" w:type="dxa"/>
            <w:vMerge w:val="restart"/>
            <w:vAlign w:val="center"/>
          </w:tcPr>
          <w:p w14:paraId="3DE9E452">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1、及时处理突发事件及应急事件，</w:t>
            </w:r>
            <w:r>
              <w:rPr>
                <w:rFonts w:hint="eastAsia" w:ascii="宋体" w:hAnsi="宋体" w:cs="宋体"/>
                <w:szCs w:val="21"/>
              </w:rPr>
              <w:t>灾害性天气及时检查并清理断枝和倒伏树木；</w:t>
            </w:r>
            <w:r>
              <w:rPr>
                <w:rFonts w:hint="eastAsia" w:ascii="宋体" w:hAnsi="宋体"/>
                <w:szCs w:val="21"/>
              </w:rPr>
              <w:t xml:space="preserve">                 </w:t>
            </w:r>
          </w:p>
          <w:p w14:paraId="6DDF5A7A">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2、在规定时限内完成交办的工作及指令性任务，配合做好各类迎查活动工作；</w:t>
            </w:r>
          </w:p>
          <w:p w14:paraId="508BCFA4">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cs="宋体"/>
                <w:szCs w:val="21"/>
              </w:rPr>
              <w:t>3、</w:t>
            </w:r>
            <w:r>
              <w:rPr>
                <w:rFonts w:hint="eastAsia" w:ascii="宋体" w:hAnsi="宋体"/>
                <w:szCs w:val="21"/>
              </w:rPr>
              <w:t xml:space="preserve">树木支撑完好，及时扶正歪斜树木，无倒伏或明显倾斜现象。                     </w:t>
            </w:r>
          </w:p>
        </w:tc>
        <w:tc>
          <w:tcPr>
            <w:tcW w:w="4450" w:type="dxa"/>
            <w:vAlign w:val="center"/>
          </w:tcPr>
          <w:p w14:paraId="284CE315">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（1）未能及时处理应急事件或突发事件，</w:t>
            </w:r>
            <w:r>
              <w:rPr>
                <w:rFonts w:hint="eastAsia" w:ascii="宋体" w:hAnsi="宋体" w:cs="宋体"/>
                <w:szCs w:val="21"/>
              </w:rPr>
              <w:t>发现一次扣</w:t>
            </w:r>
            <w:r>
              <w:rPr>
                <w:rFonts w:hint="eastAsia" w:ascii="宋体" w:hAnsi="宋体"/>
                <w:szCs w:val="21"/>
              </w:rPr>
              <w:t>5</w:t>
            </w:r>
            <w:r>
              <w:rPr>
                <w:rFonts w:hint="eastAsia" w:ascii="宋体" w:hAnsi="宋体" w:cs="宋体"/>
                <w:szCs w:val="21"/>
              </w:rPr>
              <w:t>分。</w:t>
            </w:r>
          </w:p>
        </w:tc>
        <w:tc>
          <w:tcPr>
            <w:tcW w:w="593" w:type="dxa"/>
            <w:vAlign w:val="center"/>
          </w:tcPr>
          <w:p w14:paraId="486DD771">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w:t>
            </w:r>
          </w:p>
        </w:tc>
      </w:tr>
      <w:tr w14:paraId="22061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055" w:type="dxa"/>
            <w:vMerge w:val="continue"/>
            <w:vAlign w:val="center"/>
          </w:tcPr>
          <w:p w14:paraId="21830E30">
            <w:pPr>
              <w:keepNext w:val="0"/>
              <w:keepLines w:val="0"/>
              <w:suppressLineNumbers w:val="0"/>
              <w:spacing w:before="0" w:beforeAutospacing="0" w:after="0" w:afterAutospacing="0" w:line="400" w:lineRule="exact"/>
              <w:ind w:left="0" w:right="0"/>
              <w:jc w:val="center"/>
              <w:rPr>
                <w:rFonts w:hint="eastAsia" w:ascii="宋体" w:hAnsi="宋体"/>
                <w:szCs w:val="21"/>
              </w:rPr>
            </w:pPr>
          </w:p>
        </w:tc>
        <w:tc>
          <w:tcPr>
            <w:tcW w:w="3783" w:type="dxa"/>
            <w:vMerge w:val="continue"/>
            <w:vAlign w:val="center"/>
          </w:tcPr>
          <w:p w14:paraId="4BE85EC3">
            <w:pPr>
              <w:keepNext w:val="0"/>
              <w:keepLines w:val="0"/>
              <w:suppressLineNumbers w:val="0"/>
              <w:spacing w:before="0" w:beforeAutospacing="0" w:after="0" w:afterAutospacing="0" w:line="400" w:lineRule="exact"/>
              <w:ind w:left="0" w:right="0"/>
              <w:rPr>
                <w:rFonts w:hint="eastAsia" w:ascii="宋体" w:hAnsi="宋体" w:cs="宋体"/>
                <w:szCs w:val="21"/>
              </w:rPr>
            </w:pPr>
          </w:p>
        </w:tc>
        <w:tc>
          <w:tcPr>
            <w:tcW w:w="4450" w:type="dxa"/>
            <w:vAlign w:val="center"/>
          </w:tcPr>
          <w:p w14:paraId="19FE1855">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szCs w:val="21"/>
              </w:rPr>
              <w:t>（2）</w:t>
            </w:r>
            <w:r>
              <w:rPr>
                <w:rFonts w:hint="eastAsia" w:ascii="宋体" w:hAnsi="宋体" w:cs="宋体"/>
                <w:szCs w:val="21"/>
              </w:rPr>
              <w:t>未在规定时间内完成指定性任务，发现一次扣</w:t>
            </w:r>
            <w:r>
              <w:rPr>
                <w:rFonts w:hint="eastAsia" w:ascii="宋体" w:hAnsi="宋体"/>
                <w:szCs w:val="21"/>
              </w:rPr>
              <w:t>2</w:t>
            </w:r>
            <w:r>
              <w:rPr>
                <w:rFonts w:hint="eastAsia" w:ascii="宋体" w:hAnsi="宋体" w:cs="宋体"/>
                <w:szCs w:val="21"/>
              </w:rPr>
              <w:t>分。</w:t>
            </w:r>
          </w:p>
        </w:tc>
        <w:tc>
          <w:tcPr>
            <w:tcW w:w="593" w:type="dxa"/>
            <w:vAlign w:val="center"/>
          </w:tcPr>
          <w:p w14:paraId="207152C2">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3CD15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055" w:type="dxa"/>
            <w:vMerge w:val="continue"/>
            <w:vAlign w:val="center"/>
          </w:tcPr>
          <w:p w14:paraId="42223317">
            <w:pPr>
              <w:keepNext w:val="0"/>
              <w:keepLines w:val="0"/>
              <w:suppressLineNumbers w:val="0"/>
              <w:spacing w:before="0" w:beforeAutospacing="0" w:after="0" w:afterAutospacing="0" w:line="400" w:lineRule="exact"/>
              <w:ind w:left="0" w:right="0"/>
              <w:jc w:val="center"/>
              <w:rPr>
                <w:rFonts w:hint="eastAsia" w:ascii="宋体" w:hAnsi="宋体"/>
                <w:szCs w:val="21"/>
              </w:rPr>
            </w:pPr>
          </w:p>
        </w:tc>
        <w:tc>
          <w:tcPr>
            <w:tcW w:w="3783" w:type="dxa"/>
            <w:vMerge w:val="continue"/>
            <w:vAlign w:val="center"/>
          </w:tcPr>
          <w:p w14:paraId="125F8336">
            <w:pPr>
              <w:keepNext w:val="0"/>
              <w:keepLines w:val="0"/>
              <w:suppressLineNumbers w:val="0"/>
              <w:spacing w:before="0" w:beforeAutospacing="0" w:after="0" w:afterAutospacing="0" w:line="400" w:lineRule="exact"/>
              <w:ind w:left="0" w:right="0"/>
              <w:rPr>
                <w:rFonts w:hint="eastAsia" w:ascii="宋体" w:hAnsi="宋体" w:cs="宋体"/>
                <w:szCs w:val="21"/>
              </w:rPr>
            </w:pPr>
          </w:p>
        </w:tc>
        <w:tc>
          <w:tcPr>
            <w:tcW w:w="4450" w:type="dxa"/>
            <w:vAlign w:val="center"/>
          </w:tcPr>
          <w:p w14:paraId="475D475D">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szCs w:val="21"/>
              </w:rPr>
              <w:t>（3）</w:t>
            </w:r>
            <w:r>
              <w:rPr>
                <w:rFonts w:hint="eastAsia" w:ascii="宋体" w:hAnsi="宋体" w:cs="宋体"/>
                <w:szCs w:val="21"/>
              </w:rPr>
              <w:t>发现</w:t>
            </w:r>
            <w:r>
              <w:rPr>
                <w:rFonts w:hint="eastAsia" w:ascii="宋体" w:hAnsi="宋体"/>
                <w:szCs w:val="21"/>
              </w:rPr>
              <w:t>树木支撑缺损，有</w:t>
            </w:r>
            <w:r>
              <w:rPr>
                <w:rFonts w:hint="eastAsia" w:ascii="宋体" w:hAnsi="宋体" w:cs="宋体"/>
                <w:szCs w:val="21"/>
              </w:rPr>
              <w:t>断枝、树木倒伏每株扣</w:t>
            </w:r>
            <w:r>
              <w:rPr>
                <w:rFonts w:hint="eastAsia" w:ascii="宋体" w:hAnsi="宋体"/>
                <w:szCs w:val="21"/>
              </w:rPr>
              <w:t>1</w:t>
            </w:r>
            <w:r>
              <w:rPr>
                <w:rFonts w:hint="eastAsia" w:ascii="宋体" w:hAnsi="宋体" w:cs="宋体"/>
                <w:szCs w:val="21"/>
              </w:rPr>
              <w:t>分；</w:t>
            </w:r>
            <w:r>
              <w:rPr>
                <w:rFonts w:hint="eastAsia" w:ascii="宋体" w:hAnsi="宋体"/>
                <w:szCs w:val="21"/>
              </w:rPr>
              <w:t>歪斜植株不及时扶正，每发现一株扣0.5分。</w:t>
            </w:r>
          </w:p>
        </w:tc>
        <w:tc>
          <w:tcPr>
            <w:tcW w:w="593" w:type="dxa"/>
            <w:vAlign w:val="center"/>
          </w:tcPr>
          <w:p w14:paraId="743F4B98">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6125A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055" w:type="dxa"/>
            <w:vMerge w:val="restart"/>
            <w:vAlign w:val="center"/>
          </w:tcPr>
          <w:p w14:paraId="771954F2">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保存率</w:t>
            </w:r>
            <w:r>
              <w:rPr>
                <w:rFonts w:hint="eastAsia" w:ascii="宋体" w:hAnsi="宋体" w:cs="宋体"/>
                <w:bCs/>
                <w:szCs w:val="21"/>
              </w:rPr>
              <w:t>（12分）</w:t>
            </w:r>
          </w:p>
        </w:tc>
        <w:tc>
          <w:tcPr>
            <w:tcW w:w="3783" w:type="dxa"/>
            <w:vMerge w:val="restart"/>
            <w:vAlign w:val="center"/>
          </w:tcPr>
          <w:p w14:paraId="79317279">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1、如出现死亡乔木、花灌木、草坪及时报批倒伐；         </w:t>
            </w:r>
          </w:p>
          <w:p w14:paraId="032548AA">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2、死亡乔木、花灌木、草坪及时补植。             </w:t>
            </w:r>
          </w:p>
        </w:tc>
        <w:tc>
          <w:tcPr>
            <w:tcW w:w="4450" w:type="dxa"/>
            <w:vAlign w:val="center"/>
          </w:tcPr>
          <w:p w14:paraId="2140450C">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（1）发现死亡的，每株（块）扣3分。</w:t>
            </w:r>
          </w:p>
        </w:tc>
        <w:tc>
          <w:tcPr>
            <w:tcW w:w="593" w:type="dxa"/>
            <w:vAlign w:val="center"/>
          </w:tcPr>
          <w:p w14:paraId="3850204D">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6550C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55" w:type="dxa"/>
            <w:vMerge w:val="continue"/>
            <w:vAlign w:val="center"/>
          </w:tcPr>
          <w:p w14:paraId="165D7F69">
            <w:pPr>
              <w:keepNext w:val="0"/>
              <w:keepLines w:val="0"/>
              <w:suppressLineNumbers w:val="0"/>
              <w:spacing w:before="0" w:beforeAutospacing="0" w:after="0" w:afterAutospacing="0" w:line="400" w:lineRule="exact"/>
              <w:ind w:left="0" w:right="0"/>
              <w:jc w:val="center"/>
              <w:rPr>
                <w:rFonts w:hint="eastAsia" w:ascii="宋体" w:hAnsi="宋体"/>
                <w:szCs w:val="21"/>
              </w:rPr>
            </w:pPr>
          </w:p>
        </w:tc>
        <w:tc>
          <w:tcPr>
            <w:tcW w:w="3783" w:type="dxa"/>
            <w:vMerge w:val="continue"/>
            <w:vAlign w:val="center"/>
          </w:tcPr>
          <w:p w14:paraId="25EBE4B8">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4954D1DC">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（2）未及时补植同品种、同规格苗木，每株（块）扣3分。</w:t>
            </w:r>
          </w:p>
        </w:tc>
        <w:tc>
          <w:tcPr>
            <w:tcW w:w="593" w:type="dxa"/>
            <w:vAlign w:val="center"/>
          </w:tcPr>
          <w:p w14:paraId="6ADD5227">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2B47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055" w:type="dxa"/>
            <w:vMerge w:val="restart"/>
            <w:vAlign w:val="center"/>
          </w:tcPr>
          <w:p w14:paraId="6A485E54">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卫生</w:t>
            </w:r>
          </w:p>
          <w:p w14:paraId="66C575CA">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保洁</w:t>
            </w:r>
          </w:p>
          <w:p w14:paraId="42BFADD5">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cs="宋体"/>
                <w:bCs/>
                <w:szCs w:val="21"/>
              </w:rPr>
              <w:t>（4分）</w:t>
            </w:r>
          </w:p>
        </w:tc>
        <w:tc>
          <w:tcPr>
            <w:tcW w:w="3783" w:type="dxa"/>
            <w:vAlign w:val="center"/>
          </w:tcPr>
          <w:p w14:paraId="1BB835DD">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xml:space="preserve">1、绿地保洁   </w:t>
            </w:r>
          </w:p>
          <w:p w14:paraId="3F9F43C2">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（1）绿地及广场整洁，无杂物、无白色污染（树挂）。</w:t>
            </w:r>
          </w:p>
          <w:p w14:paraId="33734B6F">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（2）绿地内水面杂物及时清理，做到巡视保洁。</w:t>
            </w:r>
          </w:p>
        </w:tc>
        <w:tc>
          <w:tcPr>
            <w:tcW w:w="4450" w:type="dxa"/>
            <w:vAlign w:val="center"/>
          </w:tcPr>
          <w:p w14:paraId="65CFCD60">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（1）发现绿地及广场有生活垃圾等杂物，每处扣0.5分。</w:t>
            </w:r>
          </w:p>
          <w:p w14:paraId="39C2DBD0">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（2）发现绿地内水面有杂物，每处扣0.5分。</w:t>
            </w:r>
          </w:p>
        </w:tc>
        <w:tc>
          <w:tcPr>
            <w:tcW w:w="593" w:type="dxa"/>
            <w:vAlign w:val="center"/>
          </w:tcPr>
          <w:p w14:paraId="1D9162D9">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0860C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055" w:type="dxa"/>
            <w:vMerge w:val="continue"/>
            <w:vAlign w:val="center"/>
          </w:tcPr>
          <w:p w14:paraId="4F528A56">
            <w:pPr>
              <w:keepNext w:val="0"/>
              <w:keepLines w:val="0"/>
              <w:suppressLineNumbers w:val="0"/>
              <w:spacing w:before="0" w:beforeAutospacing="0" w:after="0" w:afterAutospacing="0" w:line="400" w:lineRule="exact"/>
              <w:ind w:left="0" w:right="0"/>
              <w:jc w:val="center"/>
              <w:rPr>
                <w:rFonts w:hint="eastAsia" w:ascii="宋体" w:hAnsi="宋体"/>
                <w:szCs w:val="21"/>
              </w:rPr>
            </w:pPr>
          </w:p>
        </w:tc>
        <w:tc>
          <w:tcPr>
            <w:tcW w:w="3783" w:type="dxa"/>
            <w:vAlign w:val="center"/>
          </w:tcPr>
          <w:p w14:paraId="46946A6C">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2、植物垃圾处理</w:t>
            </w:r>
          </w:p>
          <w:p w14:paraId="19E54750">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（1）废弃物（如树枝、树叶、草屑等），重点地区随产随清，其它地区日产日清；</w:t>
            </w:r>
          </w:p>
          <w:p w14:paraId="45F6742F">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（2）叶面无蒙尘及粘滞物。</w:t>
            </w:r>
          </w:p>
        </w:tc>
        <w:tc>
          <w:tcPr>
            <w:tcW w:w="4450" w:type="dxa"/>
            <w:vAlign w:val="center"/>
          </w:tcPr>
          <w:p w14:paraId="5FC9DA91">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（1）检查植物垃圾处理情况，对垃圾收集和处理不及时的，发现一处扣0.5分。</w:t>
            </w:r>
          </w:p>
          <w:p w14:paraId="1FA993D6">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（2）叶面蒙尘或粘滞物不及时清除，每发现一处，扣0.5分。</w:t>
            </w:r>
          </w:p>
        </w:tc>
        <w:tc>
          <w:tcPr>
            <w:tcW w:w="593" w:type="dxa"/>
            <w:vAlign w:val="center"/>
          </w:tcPr>
          <w:p w14:paraId="419D1BE2">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5C08F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055" w:type="dxa"/>
            <w:vMerge w:val="continue"/>
            <w:vAlign w:val="center"/>
          </w:tcPr>
          <w:p w14:paraId="4F1F262D">
            <w:pPr>
              <w:keepNext w:val="0"/>
              <w:keepLines w:val="0"/>
              <w:suppressLineNumbers w:val="0"/>
              <w:spacing w:before="0" w:beforeAutospacing="0" w:after="0" w:afterAutospacing="0" w:line="400" w:lineRule="exact"/>
              <w:ind w:left="0" w:right="0"/>
              <w:jc w:val="center"/>
              <w:rPr>
                <w:rFonts w:hint="eastAsia" w:ascii="宋体" w:hAnsi="宋体"/>
                <w:szCs w:val="21"/>
              </w:rPr>
            </w:pPr>
          </w:p>
        </w:tc>
        <w:tc>
          <w:tcPr>
            <w:tcW w:w="3783" w:type="dxa"/>
            <w:vAlign w:val="center"/>
          </w:tcPr>
          <w:p w14:paraId="0E0FD1B4">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xml:space="preserve">3、做好日常保洁，做到定员定岗、着装上岗 </w:t>
            </w:r>
          </w:p>
        </w:tc>
        <w:tc>
          <w:tcPr>
            <w:tcW w:w="4450" w:type="dxa"/>
            <w:vAlign w:val="center"/>
          </w:tcPr>
          <w:p w14:paraId="565E12F3">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安排养护工人进行日常保洁，着装上岗。如发现缺勤、不在岗的，每次扣</w:t>
            </w:r>
            <w:r>
              <w:rPr>
                <w:rFonts w:hint="eastAsia" w:ascii="宋体" w:hAnsi="宋体"/>
                <w:szCs w:val="21"/>
              </w:rPr>
              <w:t>1</w:t>
            </w:r>
            <w:r>
              <w:rPr>
                <w:rFonts w:hint="eastAsia" w:ascii="宋体" w:hAnsi="宋体" w:cs="宋体"/>
                <w:szCs w:val="21"/>
              </w:rPr>
              <w:t>分。</w:t>
            </w:r>
          </w:p>
        </w:tc>
        <w:tc>
          <w:tcPr>
            <w:tcW w:w="593" w:type="dxa"/>
            <w:vAlign w:val="center"/>
          </w:tcPr>
          <w:p w14:paraId="0992700E">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178D6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55" w:type="dxa"/>
            <w:vMerge w:val="restart"/>
            <w:vAlign w:val="center"/>
          </w:tcPr>
          <w:p w14:paraId="48D0AABC">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绿地保护及设施维护</w:t>
            </w:r>
          </w:p>
          <w:p w14:paraId="243ECF1A">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cs="宋体"/>
                <w:bCs/>
                <w:szCs w:val="21"/>
              </w:rPr>
              <w:t>（4分）</w:t>
            </w:r>
          </w:p>
        </w:tc>
        <w:tc>
          <w:tcPr>
            <w:tcW w:w="3783" w:type="dxa"/>
            <w:vMerge w:val="restart"/>
            <w:vAlign w:val="center"/>
          </w:tcPr>
          <w:p w14:paraId="54C6C7FA">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1、绿地中无堆物、堆料、搭棚，建筑墙面和树干上无钉拴刻画等现象；</w:t>
            </w:r>
          </w:p>
          <w:p w14:paraId="359ACA8E">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2、路面、设施维护良好；</w:t>
            </w:r>
          </w:p>
          <w:p w14:paraId="4E6BD223">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3、绿地无重大破坏和偷盗案件。</w:t>
            </w:r>
          </w:p>
        </w:tc>
        <w:tc>
          <w:tcPr>
            <w:tcW w:w="4450" w:type="dxa"/>
            <w:vAlign w:val="center"/>
          </w:tcPr>
          <w:p w14:paraId="2FCE5A3D">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（1）检查中发现违规现象，每处每次扣1分。</w:t>
            </w:r>
          </w:p>
        </w:tc>
        <w:tc>
          <w:tcPr>
            <w:tcW w:w="593" w:type="dxa"/>
            <w:vAlign w:val="center"/>
          </w:tcPr>
          <w:p w14:paraId="385AF9D6">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5F5CC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55" w:type="dxa"/>
            <w:vMerge w:val="continue"/>
            <w:vAlign w:val="center"/>
          </w:tcPr>
          <w:p w14:paraId="66A6ED03">
            <w:pPr>
              <w:keepNext w:val="0"/>
              <w:keepLines w:val="0"/>
              <w:suppressLineNumbers w:val="0"/>
              <w:spacing w:before="0" w:beforeAutospacing="0" w:after="0" w:afterAutospacing="0" w:line="400" w:lineRule="exact"/>
              <w:ind w:left="0" w:right="0"/>
              <w:jc w:val="center"/>
              <w:rPr>
                <w:rFonts w:hint="eastAsia" w:ascii="宋体" w:hAnsi="宋体"/>
                <w:szCs w:val="21"/>
              </w:rPr>
            </w:pPr>
          </w:p>
        </w:tc>
        <w:tc>
          <w:tcPr>
            <w:tcW w:w="3783" w:type="dxa"/>
            <w:vMerge w:val="continue"/>
            <w:vAlign w:val="center"/>
          </w:tcPr>
          <w:p w14:paraId="6CABA1C4">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7000CDB4">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（2）路面、设施有破损，发现一处扣2分。</w:t>
            </w:r>
          </w:p>
        </w:tc>
        <w:tc>
          <w:tcPr>
            <w:tcW w:w="593" w:type="dxa"/>
            <w:vAlign w:val="center"/>
          </w:tcPr>
          <w:p w14:paraId="58F64DC1">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31C4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55" w:type="dxa"/>
            <w:vMerge w:val="continue"/>
            <w:vAlign w:val="center"/>
          </w:tcPr>
          <w:p w14:paraId="2F885CDD">
            <w:pPr>
              <w:keepNext w:val="0"/>
              <w:keepLines w:val="0"/>
              <w:suppressLineNumbers w:val="0"/>
              <w:spacing w:before="0" w:beforeAutospacing="0" w:after="0" w:afterAutospacing="0" w:line="400" w:lineRule="exact"/>
              <w:ind w:left="0" w:right="0"/>
              <w:jc w:val="center"/>
              <w:rPr>
                <w:rFonts w:hint="eastAsia" w:ascii="宋体" w:hAnsi="宋体"/>
                <w:szCs w:val="21"/>
              </w:rPr>
            </w:pPr>
          </w:p>
        </w:tc>
        <w:tc>
          <w:tcPr>
            <w:tcW w:w="3783" w:type="dxa"/>
            <w:vMerge w:val="continue"/>
            <w:vAlign w:val="center"/>
          </w:tcPr>
          <w:p w14:paraId="3D58CF2C">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013AE3AA">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（3）若发生重大破坏或偷盗案件，每次扣2分，并按价赔偿。</w:t>
            </w:r>
          </w:p>
        </w:tc>
        <w:tc>
          <w:tcPr>
            <w:tcW w:w="593" w:type="dxa"/>
            <w:vAlign w:val="center"/>
          </w:tcPr>
          <w:p w14:paraId="0CCA4450">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0B19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055" w:type="dxa"/>
            <w:vMerge w:val="restart"/>
            <w:vAlign w:val="center"/>
          </w:tcPr>
          <w:p w14:paraId="1696018A">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浇水、排涝及防冻处理</w:t>
            </w:r>
          </w:p>
          <w:p w14:paraId="4BD3FB24">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r>
              <w:rPr>
                <w:rFonts w:hint="eastAsia" w:ascii="宋体" w:hAnsi="宋体" w:cs="宋体"/>
                <w:bCs/>
                <w:szCs w:val="21"/>
              </w:rPr>
              <w:t>（8分）</w:t>
            </w:r>
          </w:p>
        </w:tc>
        <w:tc>
          <w:tcPr>
            <w:tcW w:w="3783" w:type="dxa"/>
            <w:vMerge w:val="restart"/>
            <w:vAlign w:val="center"/>
          </w:tcPr>
          <w:p w14:paraId="702C500D">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1、根据天气，酌量浇水，另外夏季需及时抗旱、排涝，不能发生严重缺水或积水现象；</w:t>
            </w:r>
          </w:p>
          <w:p w14:paraId="6B22BC05">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szCs w:val="21"/>
              </w:rPr>
              <w:t xml:space="preserve"> 2、及时抗旱，冬季易冻害的树木及时做防冻处理。      </w:t>
            </w:r>
          </w:p>
        </w:tc>
        <w:tc>
          <w:tcPr>
            <w:tcW w:w="4450" w:type="dxa"/>
            <w:vAlign w:val="center"/>
          </w:tcPr>
          <w:p w14:paraId="472BC079">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（1）植株严重缺水或积水，叶片枯萎，发现一株扣1分。</w:t>
            </w:r>
          </w:p>
        </w:tc>
        <w:tc>
          <w:tcPr>
            <w:tcW w:w="593" w:type="dxa"/>
            <w:vAlign w:val="center"/>
          </w:tcPr>
          <w:p w14:paraId="4619E592">
            <w:pPr>
              <w:keepNext w:val="0"/>
              <w:keepLines w:val="0"/>
              <w:suppressLineNumbers w:val="0"/>
              <w:spacing w:before="0" w:beforeAutospacing="0" w:after="0" w:afterAutospacing="0" w:line="400" w:lineRule="exact"/>
              <w:ind w:left="0" w:right="0"/>
              <w:rPr>
                <w:rFonts w:hint="eastAsia" w:ascii="宋体" w:hAnsi="宋体"/>
                <w:szCs w:val="21"/>
              </w:rPr>
            </w:pPr>
          </w:p>
        </w:tc>
      </w:tr>
      <w:tr w14:paraId="42BB4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55" w:type="dxa"/>
            <w:vMerge w:val="continue"/>
            <w:vAlign w:val="center"/>
          </w:tcPr>
          <w:p w14:paraId="6DCB46B6">
            <w:pPr>
              <w:keepNext w:val="0"/>
              <w:keepLines w:val="0"/>
              <w:suppressLineNumbers w:val="0"/>
              <w:spacing w:before="0" w:beforeAutospacing="0" w:after="0" w:afterAutospacing="0" w:line="400" w:lineRule="exact"/>
              <w:ind w:left="0" w:right="0"/>
              <w:jc w:val="center"/>
              <w:rPr>
                <w:rFonts w:hint="eastAsia" w:ascii="宋体" w:hAnsi="宋体"/>
                <w:szCs w:val="21"/>
              </w:rPr>
            </w:pPr>
          </w:p>
        </w:tc>
        <w:tc>
          <w:tcPr>
            <w:tcW w:w="3783" w:type="dxa"/>
            <w:vMerge w:val="continue"/>
            <w:vAlign w:val="center"/>
          </w:tcPr>
          <w:p w14:paraId="298A5E9E">
            <w:pPr>
              <w:keepNext w:val="0"/>
              <w:keepLines w:val="0"/>
              <w:suppressLineNumbers w:val="0"/>
              <w:spacing w:before="0" w:beforeAutospacing="0" w:after="0" w:afterAutospacing="0" w:line="400" w:lineRule="exact"/>
              <w:ind w:left="0" w:right="0"/>
              <w:rPr>
                <w:rFonts w:hint="eastAsia" w:ascii="宋体" w:hAnsi="宋体"/>
                <w:szCs w:val="21"/>
              </w:rPr>
            </w:pPr>
          </w:p>
        </w:tc>
        <w:tc>
          <w:tcPr>
            <w:tcW w:w="4450" w:type="dxa"/>
            <w:vAlign w:val="center"/>
          </w:tcPr>
          <w:p w14:paraId="4C3F25A7">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w:t>
            </w:r>
            <w:r>
              <w:rPr>
                <w:rFonts w:hint="eastAsia" w:ascii="宋体" w:hAnsi="宋体" w:cs="宋体"/>
                <w:szCs w:val="21"/>
              </w:rPr>
              <w:t>植物成片缺水或积水，发现一处扣3分。</w:t>
            </w:r>
          </w:p>
        </w:tc>
        <w:tc>
          <w:tcPr>
            <w:tcW w:w="593" w:type="dxa"/>
            <w:vAlign w:val="center"/>
          </w:tcPr>
          <w:p w14:paraId="538A8EA9">
            <w:pPr>
              <w:keepNext w:val="0"/>
              <w:keepLines w:val="0"/>
              <w:suppressLineNumbers w:val="0"/>
              <w:spacing w:before="0" w:beforeAutospacing="0" w:after="0" w:afterAutospacing="0" w:line="400" w:lineRule="exact"/>
              <w:ind w:left="0" w:right="0"/>
              <w:rPr>
                <w:rFonts w:hint="eastAsia" w:ascii="宋体" w:hAnsi="宋体"/>
                <w:szCs w:val="21"/>
              </w:rPr>
            </w:pPr>
          </w:p>
        </w:tc>
      </w:tr>
      <w:tr w14:paraId="5864E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055" w:type="dxa"/>
            <w:vMerge w:val="continue"/>
            <w:vAlign w:val="center"/>
          </w:tcPr>
          <w:p w14:paraId="11DBD040">
            <w:pPr>
              <w:keepNext w:val="0"/>
              <w:keepLines w:val="0"/>
              <w:suppressLineNumbers w:val="0"/>
              <w:spacing w:before="0" w:beforeAutospacing="0" w:after="0" w:afterAutospacing="0" w:line="400" w:lineRule="exact"/>
              <w:ind w:left="0" w:right="0"/>
              <w:jc w:val="center"/>
              <w:rPr>
                <w:rFonts w:hint="eastAsia" w:ascii="宋体" w:hAnsi="宋体" w:cs="宋体"/>
                <w:b/>
                <w:bCs/>
                <w:szCs w:val="21"/>
              </w:rPr>
            </w:pPr>
          </w:p>
        </w:tc>
        <w:tc>
          <w:tcPr>
            <w:tcW w:w="3783" w:type="dxa"/>
            <w:vMerge w:val="continue"/>
            <w:vAlign w:val="center"/>
          </w:tcPr>
          <w:p w14:paraId="375B1350">
            <w:pPr>
              <w:keepNext w:val="0"/>
              <w:keepLines w:val="0"/>
              <w:suppressLineNumbers w:val="0"/>
              <w:spacing w:before="0" w:beforeAutospacing="0" w:after="0" w:afterAutospacing="0" w:line="400" w:lineRule="exact"/>
              <w:ind w:left="0" w:right="0"/>
              <w:rPr>
                <w:rFonts w:hint="eastAsia" w:ascii="宋体" w:hAnsi="宋体" w:cs="宋体"/>
                <w:szCs w:val="21"/>
              </w:rPr>
            </w:pPr>
          </w:p>
        </w:tc>
        <w:tc>
          <w:tcPr>
            <w:tcW w:w="4450" w:type="dxa"/>
            <w:vAlign w:val="center"/>
          </w:tcPr>
          <w:p w14:paraId="019044E1">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szCs w:val="21"/>
              </w:rPr>
              <w:t>（3）防冻处理不正确，</w:t>
            </w:r>
            <w:r>
              <w:rPr>
                <w:rFonts w:hint="eastAsia" w:ascii="宋体" w:hAnsi="宋体" w:cs="宋体"/>
                <w:szCs w:val="21"/>
              </w:rPr>
              <w:t>发现一处</w:t>
            </w:r>
            <w:r>
              <w:rPr>
                <w:rFonts w:hint="eastAsia" w:ascii="宋体" w:hAnsi="宋体"/>
                <w:szCs w:val="21"/>
              </w:rPr>
              <w:t>扣3分。</w:t>
            </w:r>
          </w:p>
        </w:tc>
        <w:tc>
          <w:tcPr>
            <w:tcW w:w="593" w:type="dxa"/>
            <w:vAlign w:val="center"/>
          </w:tcPr>
          <w:p w14:paraId="6D51A2C2">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w:t>
            </w:r>
          </w:p>
        </w:tc>
      </w:tr>
      <w:tr w14:paraId="0991F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055" w:type="dxa"/>
            <w:vMerge w:val="restart"/>
            <w:vAlign w:val="center"/>
          </w:tcPr>
          <w:p w14:paraId="2AC8C280">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资料</w:t>
            </w:r>
          </w:p>
          <w:p w14:paraId="4EB8F875">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档案</w:t>
            </w:r>
          </w:p>
          <w:p w14:paraId="163CFAD5">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r>
              <w:rPr>
                <w:rFonts w:hint="eastAsia" w:ascii="宋体" w:hAnsi="宋体" w:cs="宋体"/>
                <w:bCs/>
                <w:szCs w:val="21"/>
              </w:rPr>
              <w:t>（2分）</w:t>
            </w:r>
          </w:p>
        </w:tc>
        <w:tc>
          <w:tcPr>
            <w:tcW w:w="3783" w:type="dxa"/>
            <w:vMerge w:val="restart"/>
            <w:vAlign w:val="center"/>
          </w:tcPr>
          <w:p w14:paraId="10BBC689">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1、绿化资料分类清楚，基础数据、图纸齐备；</w:t>
            </w:r>
          </w:p>
          <w:p w14:paraId="68F4274B">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2、绿化统计报表应在规定时间内及时正确报送。       </w:t>
            </w:r>
          </w:p>
        </w:tc>
        <w:tc>
          <w:tcPr>
            <w:tcW w:w="4450" w:type="dxa"/>
            <w:vAlign w:val="center"/>
          </w:tcPr>
          <w:p w14:paraId="65FC3F5F">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（1）未按规定要求建立台帐的，每次扣1分。</w:t>
            </w:r>
          </w:p>
        </w:tc>
        <w:tc>
          <w:tcPr>
            <w:tcW w:w="593" w:type="dxa"/>
            <w:vAlign w:val="center"/>
          </w:tcPr>
          <w:p w14:paraId="7F7B100A">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w:t>
            </w:r>
          </w:p>
        </w:tc>
      </w:tr>
      <w:tr w14:paraId="26A0D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jc w:val="center"/>
        </w:trPr>
        <w:tc>
          <w:tcPr>
            <w:tcW w:w="1055" w:type="dxa"/>
            <w:vMerge w:val="continue"/>
            <w:vAlign w:val="center"/>
          </w:tcPr>
          <w:p w14:paraId="497CFBBE">
            <w:pPr>
              <w:keepNext w:val="0"/>
              <w:keepLines w:val="0"/>
              <w:suppressLineNumbers w:val="0"/>
              <w:spacing w:before="0" w:beforeAutospacing="0" w:after="0" w:afterAutospacing="0" w:line="400" w:lineRule="exact"/>
              <w:ind w:left="0" w:right="0"/>
              <w:jc w:val="center"/>
              <w:rPr>
                <w:rFonts w:hint="eastAsia" w:ascii="宋体" w:hAnsi="宋体" w:cs="宋体"/>
                <w:b/>
                <w:bCs/>
                <w:szCs w:val="21"/>
              </w:rPr>
            </w:pPr>
          </w:p>
        </w:tc>
        <w:tc>
          <w:tcPr>
            <w:tcW w:w="3783" w:type="dxa"/>
            <w:vMerge w:val="continue"/>
            <w:vAlign w:val="center"/>
          </w:tcPr>
          <w:p w14:paraId="46AE33D6">
            <w:pPr>
              <w:keepNext w:val="0"/>
              <w:keepLines w:val="0"/>
              <w:suppressLineNumbers w:val="0"/>
              <w:spacing w:before="0" w:beforeAutospacing="0" w:after="0" w:afterAutospacing="0" w:line="400" w:lineRule="exact"/>
              <w:ind w:left="0" w:right="0"/>
              <w:rPr>
                <w:rFonts w:hint="eastAsia" w:ascii="宋体" w:hAnsi="宋体" w:cs="宋体"/>
                <w:szCs w:val="21"/>
              </w:rPr>
            </w:pPr>
          </w:p>
        </w:tc>
        <w:tc>
          <w:tcPr>
            <w:tcW w:w="4450" w:type="dxa"/>
            <w:vAlign w:val="center"/>
          </w:tcPr>
          <w:p w14:paraId="3C0A89F9">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szCs w:val="21"/>
              </w:rPr>
              <w:t>（2）月度工作总结及养护计划未及时报送，每次扣1分。</w:t>
            </w:r>
          </w:p>
        </w:tc>
        <w:tc>
          <w:tcPr>
            <w:tcW w:w="593" w:type="dxa"/>
            <w:vAlign w:val="center"/>
          </w:tcPr>
          <w:p w14:paraId="088A22AD">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　</w:t>
            </w:r>
          </w:p>
        </w:tc>
      </w:tr>
      <w:tr w14:paraId="3940F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jc w:val="center"/>
        </w:trPr>
        <w:tc>
          <w:tcPr>
            <w:tcW w:w="1055" w:type="dxa"/>
            <w:vMerge w:val="restart"/>
            <w:vAlign w:val="center"/>
          </w:tcPr>
          <w:p w14:paraId="25634D8F">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绿化</w:t>
            </w:r>
          </w:p>
          <w:p w14:paraId="58BC7C2F">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督查</w:t>
            </w:r>
          </w:p>
          <w:p w14:paraId="780E3ABD">
            <w:pPr>
              <w:keepNext w:val="0"/>
              <w:keepLines w:val="0"/>
              <w:suppressLineNumbers w:val="0"/>
              <w:spacing w:before="0" w:beforeAutospacing="0" w:after="0" w:afterAutospacing="0" w:line="400" w:lineRule="exact"/>
              <w:ind w:left="0" w:right="0"/>
              <w:jc w:val="center"/>
              <w:rPr>
                <w:rFonts w:hint="eastAsia" w:ascii="宋体" w:hAnsi="宋体" w:cs="宋体"/>
                <w:b/>
                <w:bCs/>
                <w:szCs w:val="21"/>
              </w:rPr>
            </w:pPr>
            <w:r>
              <w:rPr>
                <w:rFonts w:hint="eastAsia" w:ascii="宋体" w:hAnsi="宋体" w:cs="宋体"/>
                <w:bCs/>
                <w:szCs w:val="21"/>
              </w:rPr>
              <w:t>（10分）</w:t>
            </w:r>
          </w:p>
        </w:tc>
        <w:tc>
          <w:tcPr>
            <w:tcW w:w="3783" w:type="dxa"/>
            <w:vMerge w:val="restart"/>
            <w:vAlign w:val="center"/>
          </w:tcPr>
          <w:p w14:paraId="20401EB3">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1、每周不定期的到养护路段进行巡查；发现问题及时通报；</w:t>
            </w:r>
          </w:p>
          <w:p w14:paraId="5070DD73">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2、每月定期对养护路段考核。</w:t>
            </w:r>
          </w:p>
        </w:tc>
        <w:tc>
          <w:tcPr>
            <w:tcW w:w="4450" w:type="dxa"/>
            <w:vAlign w:val="center"/>
          </w:tcPr>
          <w:p w14:paraId="7990DFF6">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（1）绿化督查每次发现一个问题扣0.5分。规定期限整改到位不再追加扣分。</w:t>
            </w:r>
          </w:p>
        </w:tc>
        <w:tc>
          <w:tcPr>
            <w:tcW w:w="593" w:type="dxa"/>
            <w:vAlign w:val="center"/>
          </w:tcPr>
          <w:p w14:paraId="022600E4">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68C63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jc w:val="center"/>
        </w:trPr>
        <w:tc>
          <w:tcPr>
            <w:tcW w:w="1055" w:type="dxa"/>
            <w:vMerge w:val="continue"/>
            <w:vAlign w:val="center"/>
          </w:tcPr>
          <w:p w14:paraId="7F8AF733">
            <w:pPr>
              <w:keepNext w:val="0"/>
              <w:keepLines w:val="0"/>
              <w:suppressLineNumbers w:val="0"/>
              <w:spacing w:before="0" w:beforeAutospacing="0" w:after="0" w:afterAutospacing="0" w:line="400" w:lineRule="exact"/>
              <w:ind w:left="0" w:right="0"/>
              <w:jc w:val="center"/>
              <w:rPr>
                <w:rFonts w:hint="eastAsia" w:ascii="宋体" w:hAnsi="宋体"/>
                <w:szCs w:val="21"/>
              </w:rPr>
            </w:pPr>
          </w:p>
        </w:tc>
        <w:tc>
          <w:tcPr>
            <w:tcW w:w="3783" w:type="dxa"/>
            <w:vMerge w:val="continue"/>
            <w:vAlign w:val="center"/>
          </w:tcPr>
          <w:p w14:paraId="255D2441">
            <w:pPr>
              <w:keepNext w:val="0"/>
              <w:keepLines w:val="0"/>
              <w:suppressLineNumbers w:val="0"/>
              <w:spacing w:before="0" w:beforeAutospacing="0" w:after="0" w:afterAutospacing="0" w:line="400" w:lineRule="exact"/>
              <w:ind w:left="0" w:right="0"/>
              <w:rPr>
                <w:rFonts w:hint="eastAsia" w:ascii="宋体" w:hAnsi="宋体" w:cs="宋体"/>
                <w:szCs w:val="21"/>
              </w:rPr>
            </w:pPr>
          </w:p>
        </w:tc>
        <w:tc>
          <w:tcPr>
            <w:tcW w:w="4450" w:type="dxa"/>
            <w:vAlign w:val="center"/>
          </w:tcPr>
          <w:p w14:paraId="012E5EBA">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（2）绿化督查每次发现问题未能在整改期限内整改到位的，每次扣1.5分。</w:t>
            </w:r>
          </w:p>
        </w:tc>
        <w:tc>
          <w:tcPr>
            <w:tcW w:w="593" w:type="dxa"/>
            <w:vAlign w:val="center"/>
          </w:tcPr>
          <w:p w14:paraId="7958D323">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320D5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1055" w:type="dxa"/>
            <w:vMerge w:val="restart"/>
            <w:vAlign w:val="center"/>
          </w:tcPr>
          <w:p w14:paraId="32FFBA2A">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养护</w:t>
            </w:r>
          </w:p>
          <w:p w14:paraId="667E639C">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人员</w:t>
            </w:r>
          </w:p>
          <w:p w14:paraId="59D2076C">
            <w:pPr>
              <w:keepNext w:val="0"/>
              <w:keepLines w:val="0"/>
              <w:suppressLineNumbers w:val="0"/>
              <w:spacing w:before="0" w:beforeAutospacing="0" w:after="0" w:afterAutospacing="0" w:line="400" w:lineRule="exact"/>
              <w:ind w:left="0" w:right="0"/>
              <w:jc w:val="center"/>
              <w:rPr>
                <w:rFonts w:hint="eastAsia" w:ascii="宋体" w:hAnsi="宋体" w:cs="宋体"/>
                <w:b/>
                <w:bCs/>
                <w:szCs w:val="21"/>
              </w:rPr>
            </w:pPr>
            <w:r>
              <w:rPr>
                <w:rFonts w:hint="eastAsia" w:ascii="宋体" w:hAnsi="宋体" w:cs="宋体"/>
                <w:bCs/>
                <w:szCs w:val="21"/>
              </w:rPr>
              <w:t>（10分）</w:t>
            </w:r>
          </w:p>
        </w:tc>
        <w:tc>
          <w:tcPr>
            <w:tcW w:w="3783" w:type="dxa"/>
            <w:vMerge w:val="restart"/>
            <w:vAlign w:val="center"/>
          </w:tcPr>
          <w:p w14:paraId="62E06FC1">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1、项目负责人在养护作业过程中需驻场负责；</w:t>
            </w:r>
          </w:p>
          <w:p w14:paraId="11AAC991">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2、养护人员按规定配备齐整，养护作业达到规定要求。</w:t>
            </w:r>
          </w:p>
        </w:tc>
        <w:tc>
          <w:tcPr>
            <w:tcW w:w="4450" w:type="dxa"/>
            <w:vAlign w:val="center"/>
          </w:tcPr>
          <w:p w14:paraId="16990BDF">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（1）在定期考核中项目负责人未能到驻场负责，扣3分。</w:t>
            </w:r>
          </w:p>
        </w:tc>
        <w:tc>
          <w:tcPr>
            <w:tcW w:w="593" w:type="dxa"/>
            <w:vAlign w:val="center"/>
          </w:tcPr>
          <w:p w14:paraId="30021BB4">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3CA10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055" w:type="dxa"/>
            <w:vMerge w:val="continue"/>
            <w:vAlign w:val="center"/>
          </w:tcPr>
          <w:p w14:paraId="1B906612">
            <w:pPr>
              <w:keepNext w:val="0"/>
              <w:keepLines w:val="0"/>
              <w:suppressLineNumbers w:val="0"/>
              <w:spacing w:before="0" w:beforeAutospacing="0" w:after="0" w:afterAutospacing="0" w:line="400" w:lineRule="exact"/>
              <w:ind w:left="0" w:right="0"/>
              <w:jc w:val="center"/>
              <w:rPr>
                <w:rFonts w:hint="eastAsia" w:ascii="宋体" w:hAnsi="宋体" w:cs="宋体"/>
                <w:bCs/>
                <w:szCs w:val="21"/>
              </w:rPr>
            </w:pPr>
          </w:p>
        </w:tc>
        <w:tc>
          <w:tcPr>
            <w:tcW w:w="3783" w:type="dxa"/>
            <w:vMerge w:val="continue"/>
            <w:vAlign w:val="center"/>
          </w:tcPr>
          <w:p w14:paraId="65EA0D4A">
            <w:pPr>
              <w:keepNext w:val="0"/>
              <w:keepLines w:val="0"/>
              <w:suppressLineNumbers w:val="0"/>
              <w:spacing w:before="0" w:beforeAutospacing="0" w:after="0" w:afterAutospacing="0" w:line="400" w:lineRule="exact"/>
              <w:ind w:left="0" w:right="0"/>
              <w:rPr>
                <w:rFonts w:hint="eastAsia" w:ascii="宋体" w:hAnsi="宋体" w:cs="宋体"/>
                <w:szCs w:val="21"/>
              </w:rPr>
            </w:pPr>
          </w:p>
        </w:tc>
        <w:tc>
          <w:tcPr>
            <w:tcW w:w="4450" w:type="dxa"/>
            <w:vAlign w:val="center"/>
          </w:tcPr>
          <w:p w14:paraId="7173FD81">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（2）在不定期巡查中项目负责人未能到驻场负责，扣1分。</w:t>
            </w:r>
          </w:p>
        </w:tc>
        <w:tc>
          <w:tcPr>
            <w:tcW w:w="593" w:type="dxa"/>
            <w:vAlign w:val="center"/>
          </w:tcPr>
          <w:p w14:paraId="67F20942">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2D625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055" w:type="dxa"/>
            <w:vMerge w:val="continue"/>
            <w:vAlign w:val="center"/>
          </w:tcPr>
          <w:p w14:paraId="36792F81">
            <w:pPr>
              <w:keepNext w:val="0"/>
              <w:keepLines w:val="0"/>
              <w:suppressLineNumbers w:val="0"/>
              <w:spacing w:before="0" w:beforeAutospacing="0" w:after="0" w:afterAutospacing="0" w:line="400" w:lineRule="exact"/>
              <w:ind w:left="0" w:right="0"/>
              <w:jc w:val="center"/>
              <w:rPr>
                <w:rFonts w:hint="eastAsia" w:ascii="宋体" w:hAnsi="宋体"/>
                <w:szCs w:val="21"/>
              </w:rPr>
            </w:pPr>
          </w:p>
        </w:tc>
        <w:tc>
          <w:tcPr>
            <w:tcW w:w="3783" w:type="dxa"/>
            <w:vMerge w:val="continue"/>
            <w:vAlign w:val="center"/>
          </w:tcPr>
          <w:p w14:paraId="11D330C6">
            <w:pPr>
              <w:keepNext w:val="0"/>
              <w:keepLines w:val="0"/>
              <w:suppressLineNumbers w:val="0"/>
              <w:spacing w:before="0" w:beforeAutospacing="0" w:after="0" w:afterAutospacing="0" w:line="400" w:lineRule="exact"/>
              <w:ind w:left="0" w:right="0"/>
              <w:rPr>
                <w:rFonts w:hint="eastAsia" w:ascii="宋体" w:hAnsi="宋体" w:cs="宋体"/>
                <w:szCs w:val="21"/>
              </w:rPr>
            </w:pPr>
          </w:p>
        </w:tc>
        <w:tc>
          <w:tcPr>
            <w:tcW w:w="4450" w:type="dxa"/>
            <w:vAlign w:val="center"/>
          </w:tcPr>
          <w:p w14:paraId="632547B3">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（1）在定期考核中养护人员未按规定配备，每少一人扣1分。</w:t>
            </w:r>
          </w:p>
        </w:tc>
        <w:tc>
          <w:tcPr>
            <w:tcW w:w="593" w:type="dxa"/>
            <w:vAlign w:val="center"/>
          </w:tcPr>
          <w:p w14:paraId="47085D54">
            <w:pPr>
              <w:keepNext w:val="0"/>
              <w:keepLines w:val="0"/>
              <w:suppressLineNumbers w:val="0"/>
              <w:spacing w:before="0" w:beforeAutospacing="0" w:after="0" w:afterAutospacing="0" w:line="400" w:lineRule="exact"/>
              <w:ind w:left="0" w:right="0"/>
              <w:rPr>
                <w:rFonts w:hint="eastAsia" w:ascii="宋体" w:hAnsi="宋体" w:cs="宋体"/>
                <w:szCs w:val="21"/>
              </w:rPr>
            </w:pPr>
          </w:p>
        </w:tc>
      </w:tr>
      <w:tr w14:paraId="30DC7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55" w:type="dxa"/>
            <w:vMerge w:val="continue"/>
            <w:vAlign w:val="center"/>
          </w:tcPr>
          <w:p w14:paraId="1B903E74">
            <w:pPr>
              <w:keepNext w:val="0"/>
              <w:keepLines w:val="0"/>
              <w:suppressLineNumbers w:val="0"/>
              <w:spacing w:before="0" w:beforeAutospacing="0" w:after="0" w:afterAutospacing="0" w:line="400" w:lineRule="exact"/>
              <w:ind w:left="0" w:right="0"/>
              <w:jc w:val="center"/>
              <w:rPr>
                <w:rFonts w:hint="eastAsia" w:ascii="宋体" w:hAnsi="宋体"/>
                <w:szCs w:val="21"/>
              </w:rPr>
            </w:pPr>
          </w:p>
        </w:tc>
        <w:tc>
          <w:tcPr>
            <w:tcW w:w="3783" w:type="dxa"/>
            <w:vMerge w:val="continue"/>
            <w:vAlign w:val="center"/>
          </w:tcPr>
          <w:p w14:paraId="1E3DD63D">
            <w:pPr>
              <w:keepNext w:val="0"/>
              <w:keepLines w:val="0"/>
              <w:suppressLineNumbers w:val="0"/>
              <w:spacing w:before="0" w:beforeAutospacing="0" w:after="0" w:afterAutospacing="0" w:line="400" w:lineRule="exact"/>
              <w:ind w:left="0" w:right="0"/>
              <w:rPr>
                <w:rFonts w:hint="eastAsia" w:ascii="宋体" w:hAnsi="宋体" w:cs="宋体"/>
                <w:szCs w:val="21"/>
              </w:rPr>
            </w:pPr>
          </w:p>
        </w:tc>
        <w:tc>
          <w:tcPr>
            <w:tcW w:w="4450" w:type="dxa"/>
            <w:vAlign w:val="center"/>
          </w:tcPr>
          <w:p w14:paraId="124199D9">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（2）在不定期巡查中养护人员未按规定配备，每少一人扣0.5分。</w:t>
            </w:r>
          </w:p>
        </w:tc>
        <w:tc>
          <w:tcPr>
            <w:tcW w:w="593" w:type="dxa"/>
            <w:vAlign w:val="center"/>
          </w:tcPr>
          <w:p w14:paraId="74AEEB0C">
            <w:pPr>
              <w:keepNext w:val="0"/>
              <w:keepLines w:val="0"/>
              <w:suppressLineNumbers w:val="0"/>
              <w:spacing w:before="0" w:beforeAutospacing="0" w:after="0" w:afterAutospacing="0" w:line="400" w:lineRule="exact"/>
              <w:ind w:left="0" w:right="0"/>
              <w:rPr>
                <w:rFonts w:hint="eastAsia" w:ascii="宋体" w:hAnsi="宋体" w:cs="宋体"/>
                <w:szCs w:val="21"/>
              </w:rPr>
            </w:pPr>
          </w:p>
        </w:tc>
      </w:tr>
    </w:tbl>
    <w:p w14:paraId="4FD8B369">
      <w:pPr>
        <w:spacing w:line="360" w:lineRule="auto"/>
        <w:ind w:firstLine="422" w:firstLineChars="200"/>
        <w:rPr>
          <w:rFonts w:hint="eastAsia" w:ascii="宋体" w:hAnsi="宋体" w:eastAsia="宋体" w:cs="宋体"/>
          <w:b/>
          <w:color w:val="000000"/>
          <w:sz w:val="21"/>
          <w:szCs w:val="21"/>
        </w:rPr>
      </w:pPr>
    </w:p>
    <w:p w14:paraId="76417053">
      <w:pPr>
        <w:spacing w:line="360" w:lineRule="auto"/>
        <w:ind w:left="-359" w:leftChars="-171"/>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注：1、每单项扣分不超过本单项总分值。</w:t>
      </w:r>
    </w:p>
    <w:p w14:paraId="0CD70979">
      <w:pPr>
        <w:spacing w:line="360" w:lineRule="auto"/>
        <w:ind w:left="-359" w:leftChars="-171" w:firstLine="422" w:firstLineChars="200"/>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2、每次考核通报的问题未在次月考核前整改的或在之后的考核中发现同样问题的，加倍扣除按考核细则应扣分值，累计每单项扣分不受本单项总分值限制。</w:t>
      </w:r>
    </w:p>
    <w:p w14:paraId="36B8C8C6">
      <w:pPr>
        <w:rPr>
          <w:rFonts w:hint="eastAsia" w:ascii="宋体" w:hAnsi="宋体" w:eastAsia="宋体" w:cs="宋体"/>
          <w:color w:val="000000"/>
          <w:sz w:val="21"/>
          <w:szCs w:val="21"/>
        </w:rPr>
      </w:pPr>
    </w:p>
    <w:p w14:paraId="3796D7BF">
      <w:pPr>
        <w:pStyle w:val="12"/>
        <w:spacing w:line="360" w:lineRule="auto"/>
        <w:ind w:firstLine="0"/>
        <w:rPr>
          <w:rFonts w:hint="eastAsia" w:ascii="宋体" w:hAnsi="宋体" w:eastAsia="宋体" w:cs="宋体"/>
          <w:bCs/>
          <w:color w:val="000000"/>
          <w:sz w:val="21"/>
          <w:szCs w:val="21"/>
        </w:rPr>
      </w:pPr>
    </w:p>
    <w:p w14:paraId="3CA31011">
      <w:pPr>
        <w:pStyle w:val="11"/>
        <w:spacing w:before="0" w:after="0" w:line="360" w:lineRule="auto"/>
        <w:jc w:val="center"/>
        <w:rPr>
          <w:rFonts w:hint="eastAsia" w:ascii="宋体" w:hAnsi="宋体" w:eastAsia="宋体" w:cs="Arial"/>
          <w:bCs/>
          <w:sz w:val="36"/>
          <w:szCs w:val="36"/>
        </w:rPr>
      </w:pPr>
    </w:p>
    <w:p w14:paraId="50D0BA55">
      <w:pPr>
        <w:pStyle w:val="11"/>
        <w:spacing w:before="0" w:after="0" w:line="360" w:lineRule="auto"/>
        <w:jc w:val="center"/>
        <w:rPr>
          <w:rFonts w:hint="eastAsia" w:ascii="宋体" w:hAnsi="宋体" w:eastAsia="宋体" w:cs="Arial"/>
          <w:bCs/>
          <w:sz w:val="36"/>
          <w:szCs w:val="36"/>
        </w:rPr>
      </w:pPr>
    </w:p>
    <w:p w14:paraId="425DB3DB">
      <w:pPr>
        <w:pStyle w:val="11"/>
        <w:spacing w:before="0" w:after="0" w:line="360" w:lineRule="auto"/>
        <w:jc w:val="center"/>
        <w:rPr>
          <w:rFonts w:hint="eastAsia" w:ascii="宋体" w:hAnsi="宋体" w:eastAsia="宋体" w:cs="Arial"/>
          <w:bCs/>
          <w:sz w:val="36"/>
          <w:szCs w:val="36"/>
        </w:rPr>
      </w:pPr>
    </w:p>
    <w:p w14:paraId="22BDCB4B">
      <w:pPr>
        <w:pStyle w:val="12"/>
        <w:rPr>
          <w:rFonts w:hint="eastAsia" w:ascii="宋体" w:hAnsi="宋体" w:eastAsia="宋体" w:cs="Arial"/>
          <w:bCs/>
          <w:sz w:val="36"/>
          <w:szCs w:val="36"/>
        </w:rPr>
      </w:pPr>
    </w:p>
    <w:p w14:paraId="5800CB12">
      <w:pPr>
        <w:pStyle w:val="11"/>
        <w:spacing w:before="0" w:after="0" w:line="360" w:lineRule="auto"/>
        <w:jc w:val="both"/>
        <w:rPr>
          <w:rFonts w:hint="eastAsia" w:ascii="宋体" w:hAnsi="宋体" w:eastAsia="宋体" w:cs="Arial"/>
          <w:bCs/>
          <w:sz w:val="36"/>
          <w:szCs w:val="36"/>
        </w:rPr>
      </w:pPr>
    </w:p>
    <w:p w14:paraId="792D8263">
      <w:pPr>
        <w:pStyle w:val="12"/>
        <w:rPr>
          <w:rFonts w:hint="eastAsia" w:ascii="宋体" w:hAnsi="宋体" w:eastAsia="宋体" w:cs="Arial"/>
          <w:bCs/>
          <w:sz w:val="36"/>
          <w:szCs w:val="36"/>
        </w:rPr>
      </w:pPr>
    </w:p>
    <w:p w14:paraId="08676B42">
      <w:pPr>
        <w:pStyle w:val="12"/>
        <w:rPr>
          <w:rFonts w:hint="eastAsia" w:ascii="宋体" w:hAnsi="宋体" w:eastAsia="宋体" w:cs="Arial"/>
          <w:bCs/>
          <w:sz w:val="36"/>
          <w:szCs w:val="36"/>
        </w:rPr>
      </w:pPr>
    </w:p>
    <w:p w14:paraId="5D4ED1A5">
      <w:pPr>
        <w:pStyle w:val="11"/>
        <w:numPr>
          <w:ilvl w:val="0"/>
          <w:numId w:val="0"/>
        </w:numPr>
        <w:spacing w:before="0" w:after="0" w:line="360" w:lineRule="auto"/>
        <w:ind w:leftChars="0"/>
        <w:jc w:val="center"/>
        <w:rPr>
          <w:rFonts w:hint="eastAsia" w:ascii="宋体" w:hAnsi="宋体" w:eastAsia="宋体" w:cs="Arial"/>
          <w:bCs/>
          <w:sz w:val="36"/>
          <w:szCs w:val="36"/>
        </w:rPr>
      </w:pPr>
      <w:r>
        <w:rPr>
          <w:rFonts w:hint="eastAsia" w:ascii="宋体" w:hAnsi="宋体" w:eastAsia="宋体" w:cs="Arial"/>
          <w:bCs/>
          <w:sz w:val="36"/>
          <w:szCs w:val="36"/>
          <w:lang w:val="en-US" w:eastAsia="zh-CN"/>
        </w:rPr>
        <w:t>第五章</w:t>
      </w:r>
      <w:r>
        <w:rPr>
          <w:rFonts w:hint="eastAsia" w:ascii="宋体" w:hAnsi="宋体" w:eastAsia="宋体" w:cs="Arial"/>
          <w:bCs/>
          <w:sz w:val="36"/>
          <w:szCs w:val="36"/>
        </w:rPr>
        <w:t>评审方法和评审标准</w:t>
      </w:r>
    </w:p>
    <w:p w14:paraId="102643CF">
      <w:pPr>
        <w:pStyle w:val="12"/>
        <w:numPr>
          <w:ilvl w:val="0"/>
          <w:numId w:val="0"/>
        </w:numPr>
        <w:ind w:leftChars="0"/>
        <w:rPr>
          <w:rFonts w:hint="eastAsia"/>
        </w:rPr>
      </w:pPr>
    </w:p>
    <w:p w14:paraId="66122B27">
      <w:pPr>
        <w:pStyle w:val="12"/>
        <w:keepNext w:val="0"/>
        <w:keepLines w:val="0"/>
        <w:pageBreakBefore w:val="0"/>
        <w:widowControl w:val="0"/>
        <w:kinsoku/>
        <w:wordWrap/>
        <w:overflowPunct/>
        <w:topLinePunct w:val="0"/>
        <w:autoSpaceDE/>
        <w:autoSpaceDN/>
        <w:bidi w:val="0"/>
        <w:spacing w:line="360" w:lineRule="auto"/>
        <w:rPr>
          <w:rFonts w:eastAsia="宋体"/>
          <w:b/>
          <w:bCs/>
          <w:lang w:val="en-US" w:eastAsia="zh-CN"/>
        </w:rPr>
      </w:pPr>
      <w:r>
        <w:rPr>
          <w:rFonts w:hint="eastAsia"/>
          <w:b/>
          <w:bCs/>
          <w:lang w:val="en-US" w:eastAsia="zh-CN"/>
        </w:rPr>
        <w:t>一、评标办法</w:t>
      </w:r>
    </w:p>
    <w:p w14:paraId="6BC4549F">
      <w:pPr>
        <w:pStyle w:val="88"/>
        <w:keepNext w:val="0"/>
        <w:keepLines w:val="0"/>
        <w:pageBreakBefore w:val="0"/>
        <w:widowControl w:val="0"/>
        <w:kinsoku/>
        <w:wordWrap/>
        <w:overflowPunct/>
        <w:topLinePunct w:val="0"/>
        <w:autoSpaceDE/>
        <w:autoSpaceDN/>
        <w:bidi w:val="0"/>
        <w:spacing w:before="0" w:after="0" w:line="360" w:lineRule="auto"/>
        <w:ind w:firstLine="420" w:firstLineChars="200"/>
        <w:jc w:val="both"/>
        <w:rPr>
          <w:rFonts w:hint="eastAsia" w:ascii="宋体" w:hAnsi="宋体" w:cs="宋体"/>
          <w:color w:val="000000"/>
          <w:kern w:val="2"/>
          <w:sz w:val="21"/>
          <w:szCs w:val="21"/>
        </w:rPr>
      </w:pPr>
      <w:r>
        <w:rPr>
          <w:rFonts w:hint="eastAsia" w:ascii="宋体" w:hAnsi="宋体" w:cs="宋体"/>
          <w:color w:val="000000"/>
          <w:kern w:val="2"/>
          <w:sz w:val="21"/>
          <w:szCs w:val="21"/>
        </w:rPr>
        <w:t>本项目采用综合评分法，评委会将对确定为实质性响应采购文件要求的响应文件进行评价和比较。评标结果按评审后得分由高到低顺序排列。得分相同的，按报价由低到高顺序排列。得分且报价相同的并列，响应文件满足采购文件全部实质性要求，且按照评审因素的量化指标评审得分最高的供应商为排名第一的成交候选人。</w:t>
      </w:r>
    </w:p>
    <w:p w14:paraId="54693776">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cs="宋体"/>
          <w:b/>
          <w:color w:val="000000"/>
          <w:kern w:val="0"/>
          <w:szCs w:val="21"/>
        </w:rPr>
      </w:pPr>
      <w:bookmarkStart w:id="133" w:name="_Toc449016388"/>
      <w:bookmarkStart w:id="134" w:name="_Toc449017024"/>
      <w:r>
        <w:rPr>
          <w:rFonts w:hint="eastAsia" w:ascii="宋体" w:hAnsi="宋体" w:cs="宋体"/>
          <w:b/>
          <w:color w:val="000000"/>
          <w:kern w:val="0"/>
          <w:szCs w:val="21"/>
        </w:rPr>
        <w:t>二、小型和微型企业产品价格扣除评审</w:t>
      </w:r>
      <w:bookmarkEnd w:id="133"/>
      <w:bookmarkEnd w:id="134"/>
    </w:p>
    <w:p w14:paraId="08D2AE10">
      <w:pPr>
        <w:pStyle w:val="88"/>
        <w:keepNext w:val="0"/>
        <w:keepLines w:val="0"/>
        <w:pageBreakBefore w:val="0"/>
        <w:widowControl w:val="0"/>
        <w:kinsoku/>
        <w:wordWrap/>
        <w:overflowPunct/>
        <w:topLinePunct w:val="0"/>
        <w:autoSpaceDE/>
        <w:autoSpaceDN/>
        <w:bidi w:val="0"/>
        <w:spacing w:before="0" w:after="0"/>
        <w:ind w:firstLine="420" w:firstLineChars="200"/>
        <w:jc w:val="both"/>
        <w:rPr>
          <w:rFonts w:hint="eastAsia" w:ascii="宋体" w:hAnsi="宋体" w:cs="宋体"/>
          <w:color w:val="000000"/>
          <w:szCs w:val="21"/>
        </w:rPr>
      </w:pPr>
      <w:r>
        <w:rPr>
          <w:rFonts w:hint="eastAsia" w:ascii="宋体" w:hAnsi="宋体" w:cs="宋体"/>
          <w:color w:val="000000"/>
          <w:kern w:val="2"/>
          <w:sz w:val="21"/>
          <w:szCs w:val="21"/>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39DC8DDC">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1、小微型企业价格扣除</w:t>
      </w:r>
    </w:p>
    <w:p w14:paraId="1C68FF76">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（1）本项目对小型和微型企业产品给予20%扣除价格，用扣除后的价格参与评审。</w:t>
      </w:r>
    </w:p>
    <w:p w14:paraId="09B86D26">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（2）供应商需按照采购文件的要求提供相应的《企业声明函》。</w:t>
      </w:r>
    </w:p>
    <w:p w14:paraId="17F0E42D">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（3）企业标准请参照《关于印发中小企业划型标准规定的通知》（工信部联企业[2011]300号）文件规定自行填写。</w:t>
      </w:r>
    </w:p>
    <w:p w14:paraId="793FE529">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2、残疾人福利单位价格扣除</w:t>
      </w:r>
    </w:p>
    <w:p w14:paraId="57E710EB">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（1）本项目对残疾人福利性单位视同小型、微型企业，给予20%价格扣除，用扣除后的价格参与评审。</w:t>
      </w:r>
    </w:p>
    <w:p w14:paraId="20844428">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（2）残疾人福利单位需按照采购文件的要求提供《残疾人福利性单位声明函》。</w:t>
      </w:r>
    </w:p>
    <w:p w14:paraId="4500AAB4">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（3）残疾人福利单位标准请参照《关于促进残疾人就业政府采购政策的通知》（财库〔2017〕141号）。</w:t>
      </w:r>
    </w:p>
    <w:p w14:paraId="7DF76861">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3、监狱和戒毒企业价格扣除</w:t>
      </w:r>
    </w:p>
    <w:p w14:paraId="3CE155D2">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（1）本项目对监狱和戒毒企业（简称监狱企业）视同小型、微型企业，给予20%价格扣除，用扣除后的价格参与评审。</w:t>
      </w:r>
    </w:p>
    <w:p w14:paraId="2504AD85">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（2）监狱企业参加采购活动时，需提供由省级以上监狱管理局、戒毒管理局(含新疆生产建设兵团)出具的属于监狱企业的证明文件。供应商如不提供上述证明文件，价格将不做相应扣除。</w:t>
      </w:r>
    </w:p>
    <w:p w14:paraId="27B100BB">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（3）监狱企业标准请参照《关于政府采购支持监狱企业发展有关问题的通知》（财库[2014]68号）。</w:t>
      </w:r>
    </w:p>
    <w:p w14:paraId="49DCC3A3">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4、残疾人福利单位、监狱企业属于小型、微型企业的，不重复享受政策。</w:t>
      </w:r>
    </w:p>
    <w:p w14:paraId="41B4F097">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大中型企业和其他自然人、法人或者其他组织并与小型、微型企业（残疾人福利单位、监狱企业）组成联合体共同参加采购活动。联合协议中约定，小型、微型企业（残疾人福利单位、监狱企业）的协议合同金额占到联合体协议合同总金额30%以上的，给予联合体6%的价格扣除，用扣除后的价格参与评审。</w:t>
      </w:r>
    </w:p>
    <w:p w14:paraId="5E92120B">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6、联合体各方均为小型、微型企业（残疾人福利单位、监狱企业）的，联合体享受20%价格扣除，用扣除后的价格参与评审。</w:t>
      </w:r>
    </w:p>
    <w:p w14:paraId="1030ACF3">
      <w:pPr>
        <w:pStyle w:val="2"/>
        <w:rPr>
          <w:rFonts w:hint="eastAsia" w:ascii="宋体" w:hAnsi="宋体" w:cs="宋体"/>
          <w:color w:val="000000"/>
          <w:kern w:val="0"/>
          <w:szCs w:val="21"/>
        </w:rPr>
      </w:pPr>
    </w:p>
    <w:p w14:paraId="56719E3C">
      <w:pPr>
        <w:pStyle w:val="3"/>
        <w:rPr>
          <w:rFonts w:hint="eastAsia"/>
        </w:rPr>
      </w:pPr>
    </w:p>
    <w:p w14:paraId="094310BD">
      <w:pPr>
        <w:pStyle w:val="88"/>
        <w:spacing w:before="0" w:after="0"/>
        <w:ind w:firstLine="422" w:firstLineChars="200"/>
        <w:rPr>
          <w:rFonts w:hint="eastAsia" w:ascii="宋体" w:hAnsi="宋体"/>
          <w:b/>
          <w:color w:val="000000"/>
          <w:kern w:val="2"/>
          <w:sz w:val="21"/>
          <w:szCs w:val="21"/>
        </w:rPr>
      </w:pPr>
      <w:r>
        <w:rPr>
          <w:rFonts w:hint="eastAsia" w:ascii="宋体" w:hAnsi="宋体"/>
          <w:b/>
          <w:color w:val="000000"/>
          <w:kern w:val="2"/>
          <w:sz w:val="21"/>
          <w:szCs w:val="21"/>
        </w:rPr>
        <w:t>三、评标标准</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0"/>
        <w:gridCol w:w="7609"/>
      </w:tblGrid>
      <w:tr w14:paraId="01CEF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1860" w:type="dxa"/>
            <w:vAlign w:val="center"/>
          </w:tcPr>
          <w:p w14:paraId="59AECA05">
            <w:pPr>
              <w:keepNext w:val="0"/>
              <w:keepLines w:val="0"/>
              <w:suppressLineNumbers w:val="0"/>
              <w:spacing w:before="0" w:beforeAutospacing="0" w:after="0" w:afterAutospacing="0"/>
              <w:ind w:left="0" w:right="0"/>
              <w:jc w:val="center"/>
              <w:rPr>
                <w:rFonts w:hint="eastAsia" w:ascii="宋体" w:cs="宋体"/>
                <w:szCs w:val="21"/>
              </w:rPr>
            </w:pPr>
            <w:r>
              <w:rPr>
                <w:rFonts w:hint="eastAsia" w:ascii="宋体" w:hAnsi="宋体" w:cs="宋体"/>
                <w:szCs w:val="21"/>
              </w:rPr>
              <w:t>项  目</w:t>
            </w:r>
          </w:p>
        </w:tc>
        <w:tc>
          <w:tcPr>
            <w:tcW w:w="7609" w:type="dxa"/>
            <w:vAlign w:val="center"/>
          </w:tcPr>
          <w:p w14:paraId="752DCE22">
            <w:pPr>
              <w:keepNext w:val="0"/>
              <w:keepLines w:val="0"/>
              <w:suppressLineNumbers w:val="0"/>
              <w:spacing w:before="0" w:beforeAutospacing="0" w:after="0" w:afterAutospacing="0"/>
              <w:ind w:left="0" w:right="0"/>
              <w:jc w:val="center"/>
              <w:rPr>
                <w:rFonts w:hint="eastAsia" w:ascii="宋体" w:cs="宋体"/>
                <w:szCs w:val="21"/>
              </w:rPr>
            </w:pPr>
            <w:r>
              <w:rPr>
                <w:rFonts w:hint="eastAsia" w:ascii="宋体" w:hAnsi="宋体" w:cs="宋体"/>
                <w:szCs w:val="21"/>
              </w:rPr>
              <w:t>评  分  标  准</w:t>
            </w:r>
          </w:p>
        </w:tc>
      </w:tr>
      <w:tr w14:paraId="22802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1860" w:type="dxa"/>
            <w:vAlign w:val="center"/>
          </w:tcPr>
          <w:p w14:paraId="7C9DD391">
            <w:pPr>
              <w:keepNext w:val="0"/>
              <w:keepLines w:val="0"/>
              <w:suppressLineNumbers w:val="0"/>
              <w:spacing w:before="0" w:beforeAutospacing="0" w:after="0" w:afterAutospacing="0"/>
              <w:ind w:left="0" w:right="0"/>
              <w:jc w:val="center"/>
              <w:rPr>
                <w:rFonts w:hint="eastAsia" w:ascii="宋体" w:cs="宋体"/>
                <w:szCs w:val="21"/>
              </w:rPr>
            </w:pPr>
            <w:r>
              <w:rPr>
                <w:rFonts w:hint="eastAsia" w:ascii="宋体" w:hAnsi="宋体" w:cs="宋体"/>
                <w:szCs w:val="21"/>
              </w:rPr>
              <w:t>价 格</w:t>
            </w:r>
          </w:p>
          <w:p w14:paraId="522746EA">
            <w:pPr>
              <w:keepNext w:val="0"/>
              <w:keepLines w:val="0"/>
              <w:suppressLineNumbers w:val="0"/>
              <w:spacing w:before="0" w:beforeAutospacing="0" w:after="0" w:afterAutospacing="0"/>
              <w:ind w:left="0" w:right="0"/>
              <w:jc w:val="center"/>
              <w:rPr>
                <w:rFonts w:hint="eastAsia" w:ascii="宋体" w:cs="宋体"/>
                <w:szCs w:val="21"/>
              </w:rPr>
            </w:pPr>
            <w:r>
              <w:rPr>
                <w:rFonts w:hint="eastAsia" w:ascii="宋体" w:hAnsi="宋体" w:cs="宋体"/>
                <w:szCs w:val="21"/>
              </w:rPr>
              <w:t>（30分）</w:t>
            </w:r>
          </w:p>
        </w:tc>
        <w:tc>
          <w:tcPr>
            <w:tcW w:w="7609" w:type="dxa"/>
            <w:vAlign w:val="center"/>
          </w:tcPr>
          <w:p w14:paraId="727AF685">
            <w:pPr>
              <w:keepNext w:val="0"/>
              <w:keepLines w:val="0"/>
              <w:suppressLineNumbers w:val="0"/>
              <w:spacing w:before="0" w:beforeAutospacing="0" w:after="0" w:afterAutospacing="0" w:line="360" w:lineRule="auto"/>
              <w:ind w:left="0" w:right="0"/>
              <w:rPr>
                <w:rFonts w:hint="eastAsia" w:ascii="宋体" w:cs="宋体"/>
                <w:szCs w:val="21"/>
              </w:rPr>
            </w:pPr>
            <w:r>
              <w:rPr>
                <w:rFonts w:hint="eastAsia" w:ascii="宋体" w:hAnsi="宋体"/>
                <w:szCs w:val="21"/>
              </w:rPr>
              <w:t>以满足磋商文件要求</w:t>
            </w:r>
            <w:r>
              <w:rPr>
                <w:rFonts w:hint="eastAsia" w:ascii="宋体" w:hAnsi="宋体"/>
                <w:szCs w:val="21"/>
                <w:highlight w:val="none"/>
              </w:rPr>
              <w:t>的最</w:t>
            </w:r>
            <w:r>
              <w:rPr>
                <w:rFonts w:hint="eastAsia" w:ascii="宋体" w:hAnsi="宋体"/>
                <w:szCs w:val="21"/>
                <w:highlight w:val="none"/>
                <w:lang w:val="en-US" w:eastAsia="zh-CN"/>
              </w:rPr>
              <w:t>终最</w:t>
            </w:r>
            <w:r>
              <w:rPr>
                <w:rFonts w:hint="eastAsia" w:ascii="宋体" w:hAnsi="宋体"/>
                <w:szCs w:val="21"/>
                <w:highlight w:val="none"/>
              </w:rPr>
              <w:t>低价为基准价</w:t>
            </w:r>
            <w:r>
              <w:rPr>
                <w:rFonts w:hint="eastAsia" w:ascii="宋体" w:hAnsi="宋体"/>
                <w:szCs w:val="21"/>
              </w:rPr>
              <w:t>，得30分，其他报价得分＝（基准价/报价）×30×100％（四舍五入，保留两位小数）。</w:t>
            </w:r>
          </w:p>
        </w:tc>
      </w:tr>
      <w:tr w14:paraId="639B2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jc w:val="center"/>
        </w:trPr>
        <w:tc>
          <w:tcPr>
            <w:tcW w:w="1860" w:type="dxa"/>
            <w:vMerge w:val="restart"/>
            <w:vAlign w:val="center"/>
          </w:tcPr>
          <w:p w14:paraId="7D354C84">
            <w:pPr>
              <w:keepNext w:val="0"/>
              <w:keepLines w:val="0"/>
              <w:suppressLineNumbers w:val="0"/>
              <w:spacing w:before="0" w:beforeAutospacing="0" w:after="0" w:afterAutospacing="0"/>
              <w:ind w:left="0" w:right="0"/>
              <w:jc w:val="center"/>
              <w:rPr>
                <w:rFonts w:hint="eastAsia" w:ascii="宋体"/>
                <w:szCs w:val="21"/>
              </w:rPr>
            </w:pPr>
            <w:r>
              <w:rPr>
                <w:rFonts w:hint="eastAsia" w:ascii="宋体" w:hAnsi="宋体"/>
                <w:szCs w:val="21"/>
              </w:rPr>
              <w:t>养护方案</w:t>
            </w:r>
          </w:p>
          <w:p w14:paraId="5EA076B4">
            <w:pPr>
              <w:keepNext w:val="0"/>
              <w:keepLines w:val="0"/>
              <w:suppressLineNumbers w:val="0"/>
              <w:spacing w:before="0" w:beforeAutospacing="0" w:after="0" w:afterAutospacing="0"/>
              <w:ind w:left="0" w:right="0"/>
              <w:jc w:val="center"/>
              <w:rPr>
                <w:rFonts w:hint="eastAsia" w:ascii="宋体" w:cs="宋体"/>
                <w:szCs w:val="21"/>
              </w:rPr>
            </w:pPr>
            <w:r>
              <w:rPr>
                <w:rFonts w:hint="eastAsia" w:ascii="宋体" w:hAnsi="宋体"/>
                <w:szCs w:val="21"/>
              </w:rPr>
              <w:t>（40分）</w:t>
            </w:r>
          </w:p>
        </w:tc>
        <w:tc>
          <w:tcPr>
            <w:tcW w:w="7609" w:type="dxa"/>
            <w:vAlign w:val="center"/>
          </w:tcPr>
          <w:p w14:paraId="620FBCF6">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1、养护管理制度全面完善、程序标准规范、责任明确到位、方案可操作性强，包括档案管理完整齐全、查询方便快捷的得10分；</w:t>
            </w:r>
          </w:p>
          <w:p w14:paraId="044C5730">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2、养护管理制度较完善、程序标准较规范、责任较明确到位、方案可操作性较强，档案管理较完整，查询方便的得7分；</w:t>
            </w:r>
          </w:p>
          <w:p w14:paraId="77971C48">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3、养护管理制度一般、程序不混乱、责任到位、方案可操作性一般，档案管理完整可查的得4分；</w:t>
            </w:r>
          </w:p>
          <w:p w14:paraId="5036E3B5">
            <w:pPr>
              <w:keepNext w:val="0"/>
              <w:keepLines w:val="0"/>
              <w:widowControl/>
              <w:suppressLineNumbers w:val="0"/>
              <w:spacing w:before="0" w:beforeAutospacing="0" w:after="0" w:afterAutospacing="0" w:line="360" w:lineRule="auto"/>
              <w:ind w:left="0" w:right="0"/>
              <w:rPr>
                <w:rFonts w:hint="eastAsia" w:ascii="宋体" w:cs="宋体"/>
                <w:szCs w:val="21"/>
              </w:rPr>
            </w:pPr>
            <w:r>
              <w:rPr>
                <w:rFonts w:hint="eastAsia" w:ascii="宋体" w:hAnsi="宋体"/>
                <w:szCs w:val="21"/>
              </w:rPr>
              <w:t>4、养护管理制度不完整、程序混乱、责任未明确到位、方案可操作性差，档案管理混乱、不便于查询的得1分。</w:t>
            </w:r>
          </w:p>
        </w:tc>
      </w:tr>
      <w:tr w14:paraId="50242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3" w:hRule="atLeast"/>
          <w:jc w:val="center"/>
        </w:trPr>
        <w:tc>
          <w:tcPr>
            <w:tcW w:w="1860" w:type="dxa"/>
            <w:vMerge w:val="continue"/>
            <w:vAlign w:val="center"/>
          </w:tcPr>
          <w:p w14:paraId="6DA1E5CB">
            <w:pPr>
              <w:keepNext w:val="0"/>
              <w:keepLines w:val="0"/>
              <w:suppressLineNumbers w:val="0"/>
              <w:spacing w:before="0" w:beforeAutospacing="0" w:after="0" w:afterAutospacing="0"/>
              <w:ind w:left="0" w:right="0"/>
              <w:jc w:val="center"/>
              <w:rPr>
                <w:rFonts w:hint="eastAsia" w:ascii="宋体"/>
                <w:szCs w:val="21"/>
              </w:rPr>
            </w:pPr>
          </w:p>
        </w:tc>
        <w:tc>
          <w:tcPr>
            <w:tcW w:w="7609" w:type="dxa"/>
            <w:vAlign w:val="center"/>
          </w:tcPr>
          <w:p w14:paraId="118C570E">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1、养护项目工作人员安排计划全面完善，项目负责人、管理人员、各专业工种人员技术力量雄厚，以及劳动力配备合理齐全，组织管理体系科学，能够有效实施养护管理工作的得10分；</w:t>
            </w:r>
          </w:p>
          <w:p w14:paraId="53BFDA6D">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2、养护项目工作人员安排计划较完善，项目负责人、管理人员、各专业工种人员技术力量较雄厚，以及劳动力配备较合理齐全，组织管理体系较科学，能够较好地实施养护管理工作的得7分；</w:t>
            </w:r>
          </w:p>
          <w:p w14:paraId="4F712A93">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3、养护项目工作人员安排计划一般，项目负责人、管理人员、各专业工种人员技术力量一般，以及劳动力配备一般，组织管理体系一般，能够基本完成实施养护管理工作的得4分；</w:t>
            </w:r>
          </w:p>
          <w:p w14:paraId="1F24552D">
            <w:pPr>
              <w:keepNext w:val="0"/>
              <w:keepLines w:val="0"/>
              <w:widowControl/>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4、养护项目工作人员安排计划不合理，项目负责人、管理人员、各专业工种人员技术力量欠缺，以及劳动力配备欠缺，组织管理体系差，不能够实施养护管理工作的得1分。</w:t>
            </w:r>
          </w:p>
          <w:p w14:paraId="1494BA3A">
            <w:pPr>
              <w:keepNext w:val="0"/>
              <w:keepLines w:val="0"/>
              <w:widowControl/>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（提供人员证书和供应商为其缴</w:t>
            </w:r>
            <w:r>
              <w:rPr>
                <w:rFonts w:hint="eastAsia" w:ascii="宋体" w:hAnsi="宋体"/>
                <w:szCs w:val="21"/>
                <w:highlight w:val="none"/>
              </w:rPr>
              <w:t>纳的202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月至202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月三个月</w:t>
            </w:r>
            <w:r>
              <w:rPr>
                <w:rFonts w:hint="eastAsia" w:ascii="宋体" w:hAnsi="宋体"/>
                <w:szCs w:val="21"/>
              </w:rPr>
              <w:t>内任意一个月社保证明，复印件加盖供应商公章，原件备查）</w:t>
            </w:r>
          </w:p>
        </w:tc>
      </w:tr>
      <w:tr w14:paraId="12FA6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860" w:type="dxa"/>
            <w:vMerge w:val="continue"/>
            <w:vAlign w:val="center"/>
          </w:tcPr>
          <w:p w14:paraId="7F8D2645">
            <w:pPr>
              <w:keepNext w:val="0"/>
              <w:keepLines w:val="0"/>
              <w:suppressLineNumbers w:val="0"/>
              <w:spacing w:before="0" w:beforeAutospacing="0" w:after="0" w:afterAutospacing="0"/>
              <w:ind w:left="0" w:right="0"/>
              <w:jc w:val="center"/>
              <w:rPr>
                <w:rFonts w:hint="eastAsia" w:ascii="宋体"/>
                <w:szCs w:val="21"/>
              </w:rPr>
            </w:pPr>
          </w:p>
        </w:tc>
        <w:tc>
          <w:tcPr>
            <w:tcW w:w="7609" w:type="dxa"/>
            <w:vAlign w:val="center"/>
          </w:tcPr>
          <w:p w14:paraId="754AB6EA">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1、养护技术方案根据季节变化考虑各类园林植物特性，养护计划周密、措施方案合理有效，病虫害防治方案细致全面，可行性强的得10分；</w:t>
            </w:r>
          </w:p>
          <w:p w14:paraId="1AF4D4C4">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2、养护技术方案根据季节变化考虑各类园林植物特性，养护计划较周密、措施方案较合理，病虫害防治方案较全面，可行性较强的得7分；</w:t>
            </w:r>
          </w:p>
          <w:p w14:paraId="6B59DF2B">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3、养护技术方案根据季节变化考虑各类园林植物特性，养护计划一般、措施方案一般，病虫害防治方案一般，有可行性的得4分；</w:t>
            </w:r>
          </w:p>
          <w:p w14:paraId="23AF14FD">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4、养护技术方案根据季节变化考虑各类园林植物特性，养护计划差、措施方案不合理，病虫害防治方案差，不具有可行性的得1分。</w:t>
            </w:r>
          </w:p>
        </w:tc>
      </w:tr>
      <w:tr w14:paraId="07559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1860" w:type="dxa"/>
            <w:vMerge w:val="continue"/>
            <w:vAlign w:val="center"/>
          </w:tcPr>
          <w:p w14:paraId="59BE8F06">
            <w:pPr>
              <w:keepNext w:val="0"/>
              <w:keepLines w:val="0"/>
              <w:suppressLineNumbers w:val="0"/>
              <w:spacing w:before="0" w:beforeAutospacing="0" w:after="0" w:afterAutospacing="0"/>
              <w:ind w:left="0" w:right="0"/>
              <w:jc w:val="center"/>
              <w:rPr>
                <w:rFonts w:hint="eastAsia" w:ascii="宋体"/>
                <w:szCs w:val="21"/>
              </w:rPr>
            </w:pPr>
          </w:p>
        </w:tc>
        <w:tc>
          <w:tcPr>
            <w:tcW w:w="7609" w:type="dxa"/>
            <w:vAlign w:val="center"/>
          </w:tcPr>
          <w:p w14:paraId="60BC2F11">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s="宋体"/>
                <w:szCs w:val="21"/>
              </w:rPr>
            </w:pPr>
            <w:r>
              <w:rPr>
                <w:rFonts w:hint="eastAsia" w:ascii="宋体" w:hAnsi="宋体" w:cs="宋体"/>
                <w:szCs w:val="21"/>
              </w:rPr>
              <w:t>1、应急工作计划和方案编制合理，措施得力度强的得5分；</w:t>
            </w:r>
          </w:p>
          <w:p w14:paraId="7B381BA3">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s="宋体"/>
                <w:szCs w:val="21"/>
              </w:rPr>
            </w:pPr>
            <w:r>
              <w:rPr>
                <w:rFonts w:hint="eastAsia" w:ascii="宋体" w:hAnsi="宋体" w:cs="宋体"/>
                <w:szCs w:val="21"/>
              </w:rPr>
              <w:t>2、应急工作计划和方案编制较合理，措施得力度一般的得3分；</w:t>
            </w:r>
          </w:p>
          <w:p w14:paraId="4A848400">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cs="宋体"/>
                <w:szCs w:val="21"/>
              </w:rPr>
              <w:t>3、应急工作计划和方案编制不合理，措施得力度较差的得1分。</w:t>
            </w:r>
          </w:p>
        </w:tc>
      </w:tr>
      <w:tr w14:paraId="38BF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1860" w:type="dxa"/>
            <w:vMerge w:val="continue"/>
            <w:vAlign w:val="center"/>
          </w:tcPr>
          <w:p w14:paraId="5C1D54F2">
            <w:pPr>
              <w:keepNext w:val="0"/>
              <w:keepLines w:val="0"/>
              <w:suppressLineNumbers w:val="0"/>
              <w:spacing w:before="0" w:beforeAutospacing="0" w:after="0" w:afterAutospacing="0"/>
              <w:ind w:left="0" w:right="0"/>
              <w:jc w:val="center"/>
              <w:rPr>
                <w:rFonts w:hint="eastAsia" w:ascii="宋体"/>
                <w:szCs w:val="21"/>
              </w:rPr>
            </w:pPr>
          </w:p>
        </w:tc>
        <w:tc>
          <w:tcPr>
            <w:tcW w:w="7609" w:type="dxa"/>
            <w:vAlign w:val="center"/>
          </w:tcPr>
          <w:p w14:paraId="21389092">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s="宋体"/>
                <w:szCs w:val="21"/>
              </w:rPr>
            </w:pPr>
            <w:r>
              <w:rPr>
                <w:rFonts w:hint="eastAsia" w:ascii="宋体" w:hAnsi="宋体" w:cs="宋体"/>
                <w:szCs w:val="21"/>
              </w:rPr>
              <w:t>1、绿化养护</w:t>
            </w:r>
            <w:r>
              <w:rPr>
                <w:rFonts w:hint="eastAsia" w:ascii="宋体" w:hAnsi="宋体" w:cs="宋体"/>
                <w:szCs w:val="21"/>
                <w:lang w:val="zh-CN"/>
              </w:rPr>
              <w:t>的安全管理、文明作业方案细致全面、合理、可行性强的得</w:t>
            </w:r>
            <w:r>
              <w:rPr>
                <w:rFonts w:hint="eastAsia" w:ascii="宋体" w:hAnsi="宋体" w:cs="宋体"/>
                <w:szCs w:val="21"/>
              </w:rPr>
              <w:t>5</w:t>
            </w:r>
            <w:r>
              <w:rPr>
                <w:rFonts w:hint="eastAsia" w:ascii="宋体" w:hAnsi="宋体" w:cs="宋体"/>
                <w:szCs w:val="21"/>
                <w:lang w:val="zh-CN"/>
              </w:rPr>
              <w:t>分</w:t>
            </w:r>
            <w:r>
              <w:rPr>
                <w:rFonts w:hint="eastAsia" w:ascii="宋体" w:hAnsi="宋体" w:cs="宋体"/>
                <w:szCs w:val="21"/>
              </w:rPr>
              <w:t>；</w:t>
            </w:r>
          </w:p>
          <w:p w14:paraId="2294BD0F">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s="宋体"/>
                <w:szCs w:val="21"/>
              </w:rPr>
            </w:pPr>
            <w:r>
              <w:rPr>
                <w:rFonts w:hint="eastAsia" w:ascii="宋体" w:hAnsi="宋体" w:cs="宋体"/>
                <w:szCs w:val="21"/>
              </w:rPr>
              <w:t>2、绿化养护</w:t>
            </w:r>
            <w:r>
              <w:rPr>
                <w:rFonts w:hint="eastAsia" w:ascii="宋体" w:hAnsi="宋体" w:cs="宋体"/>
                <w:szCs w:val="21"/>
                <w:lang w:val="zh-CN"/>
              </w:rPr>
              <w:t>的</w:t>
            </w:r>
            <w:r>
              <w:rPr>
                <w:rFonts w:hint="eastAsia" w:ascii="宋体" w:hAnsi="宋体" w:cs="宋体"/>
                <w:szCs w:val="21"/>
              </w:rPr>
              <w:t>安全</w:t>
            </w:r>
            <w:r>
              <w:rPr>
                <w:rFonts w:hint="eastAsia" w:ascii="宋体" w:hAnsi="宋体" w:cs="宋体"/>
                <w:szCs w:val="21"/>
                <w:lang w:val="zh-CN"/>
              </w:rPr>
              <w:t>管理、文明作业</w:t>
            </w:r>
            <w:r>
              <w:rPr>
                <w:rFonts w:hint="eastAsia" w:ascii="宋体" w:hAnsi="宋体" w:cs="宋体"/>
                <w:szCs w:val="21"/>
              </w:rPr>
              <w:t>方案较全面、具有一定可行性得3分；</w:t>
            </w:r>
          </w:p>
          <w:p w14:paraId="1E2A9936">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cs="宋体"/>
                <w:szCs w:val="21"/>
              </w:rPr>
              <w:t>3、绿化养护</w:t>
            </w:r>
            <w:r>
              <w:rPr>
                <w:rFonts w:hint="eastAsia" w:ascii="宋体" w:hAnsi="宋体" w:cs="宋体"/>
                <w:szCs w:val="21"/>
                <w:lang w:val="zh-CN"/>
              </w:rPr>
              <w:t>的</w:t>
            </w:r>
            <w:r>
              <w:rPr>
                <w:rFonts w:hint="eastAsia" w:ascii="宋体" w:hAnsi="宋体" w:cs="宋体"/>
                <w:szCs w:val="21"/>
              </w:rPr>
              <w:t>安全管理、</w:t>
            </w:r>
            <w:r>
              <w:rPr>
                <w:rFonts w:hint="eastAsia" w:ascii="宋体" w:hAnsi="宋体" w:cs="宋体"/>
                <w:szCs w:val="21"/>
                <w:lang w:val="zh-CN"/>
              </w:rPr>
              <w:t>文明作业</w:t>
            </w:r>
            <w:r>
              <w:rPr>
                <w:rFonts w:hint="eastAsia" w:ascii="宋体" w:hAnsi="宋体" w:cs="宋体"/>
                <w:szCs w:val="21"/>
              </w:rPr>
              <w:t>方案不完整、可行性较差得1分。</w:t>
            </w:r>
          </w:p>
        </w:tc>
      </w:tr>
      <w:tr w14:paraId="43B83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4" w:hRule="atLeast"/>
          <w:jc w:val="center"/>
        </w:trPr>
        <w:tc>
          <w:tcPr>
            <w:tcW w:w="1860" w:type="dxa"/>
            <w:vAlign w:val="center"/>
          </w:tcPr>
          <w:p w14:paraId="19F26F94">
            <w:pPr>
              <w:keepNext w:val="0"/>
              <w:keepLines w:val="0"/>
              <w:suppressLineNumbers w:val="0"/>
              <w:spacing w:before="0" w:beforeAutospacing="0" w:after="0" w:afterAutospacing="0"/>
              <w:ind w:left="0" w:right="0"/>
              <w:jc w:val="center"/>
              <w:rPr>
                <w:rFonts w:hint="eastAsia" w:ascii="宋体"/>
                <w:szCs w:val="21"/>
              </w:rPr>
            </w:pPr>
            <w:r>
              <w:rPr>
                <w:rFonts w:hint="eastAsia" w:ascii="宋体" w:hAnsi="宋体"/>
                <w:szCs w:val="21"/>
              </w:rPr>
              <w:t>技术力量</w:t>
            </w:r>
          </w:p>
          <w:p w14:paraId="54D8490B">
            <w:pPr>
              <w:keepNext w:val="0"/>
              <w:keepLines w:val="0"/>
              <w:suppressLineNumbers w:val="0"/>
              <w:spacing w:before="0" w:beforeAutospacing="0" w:after="0" w:afterAutospacing="0"/>
              <w:ind w:left="0" w:right="0"/>
              <w:jc w:val="center"/>
              <w:rPr>
                <w:rFonts w:hint="eastAsia" w:ascii="宋体" w:cs="宋体"/>
              </w:rPr>
            </w:pPr>
            <w:r>
              <w:rPr>
                <w:rFonts w:hint="eastAsia" w:ascii="宋体" w:hAnsi="宋体"/>
                <w:szCs w:val="21"/>
              </w:rPr>
              <w:t>（18分）</w:t>
            </w:r>
          </w:p>
        </w:tc>
        <w:tc>
          <w:tcPr>
            <w:tcW w:w="7609" w:type="dxa"/>
            <w:vAlign w:val="center"/>
          </w:tcPr>
          <w:p w14:paraId="0203D898">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对各供应商持有针对性绿化养护器械的齐备情况以及数量评分，所有器械须提供</w:t>
            </w:r>
          </w:p>
          <w:p w14:paraId="71860517">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（1）割灌机有1台得2分，每增加1台得2分，满分4分；</w:t>
            </w:r>
          </w:p>
          <w:p w14:paraId="2314A0CD">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（2）绿篱机有1台得2分，每增加1台得2分，满分4分；</w:t>
            </w:r>
          </w:p>
          <w:p w14:paraId="1847506B">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 xml:space="preserve">（3）货车每有1辆得2分，满分2分； </w:t>
            </w:r>
          </w:p>
          <w:p w14:paraId="269E0FEA">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（4）高空作业车每有1辆得2分，满分2分；</w:t>
            </w:r>
          </w:p>
          <w:p w14:paraId="6795B456">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（5）油锯或修枝剪每有1把得2分，满分4分；</w:t>
            </w:r>
          </w:p>
          <w:p w14:paraId="17FB1620">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（6）洒水车有1台得2分，满分2分。</w:t>
            </w:r>
          </w:p>
          <w:p w14:paraId="05EDB69A">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eastAsia="宋体" w:cs="宋体"/>
                <w:szCs w:val="21"/>
              </w:rPr>
              <w:t>(需提供发票复印件加盖供应商公章，原始发票备查，购买发票上载明的所有人必须为投标人)</w:t>
            </w:r>
          </w:p>
        </w:tc>
      </w:tr>
      <w:tr w14:paraId="42ADC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1860" w:type="dxa"/>
            <w:vAlign w:val="center"/>
          </w:tcPr>
          <w:p w14:paraId="0AC39238">
            <w:pPr>
              <w:keepNext w:val="0"/>
              <w:keepLines w:val="0"/>
              <w:suppressLineNumbers w:val="0"/>
              <w:spacing w:before="0" w:beforeAutospacing="0" w:after="0" w:afterAutospacing="0"/>
              <w:ind w:left="0" w:right="0"/>
              <w:jc w:val="center"/>
              <w:rPr>
                <w:rFonts w:hint="eastAsia" w:ascii="宋体"/>
                <w:szCs w:val="21"/>
              </w:rPr>
            </w:pPr>
            <w:r>
              <w:rPr>
                <w:rFonts w:hint="eastAsia" w:ascii="宋体" w:hAnsi="宋体"/>
                <w:szCs w:val="21"/>
              </w:rPr>
              <w:t>业绩</w:t>
            </w:r>
          </w:p>
          <w:p w14:paraId="614428A8">
            <w:pPr>
              <w:keepNext w:val="0"/>
              <w:keepLines w:val="0"/>
              <w:suppressLineNumbers w:val="0"/>
              <w:spacing w:before="0" w:beforeAutospacing="0" w:after="0" w:afterAutospacing="0"/>
              <w:ind w:left="0" w:right="0"/>
              <w:jc w:val="center"/>
              <w:rPr>
                <w:rFonts w:hint="eastAsia" w:ascii="宋体" w:cs="宋体"/>
                <w:szCs w:val="21"/>
              </w:rPr>
            </w:pPr>
            <w:r>
              <w:rPr>
                <w:rFonts w:hint="eastAsia" w:ascii="宋体" w:hAnsi="宋体"/>
                <w:szCs w:val="21"/>
              </w:rPr>
              <w:t>（6分）</w:t>
            </w:r>
          </w:p>
        </w:tc>
        <w:tc>
          <w:tcPr>
            <w:tcW w:w="7609" w:type="dxa"/>
            <w:vAlign w:val="center"/>
          </w:tcPr>
          <w:p w14:paraId="29722B56">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szCs w:val="21"/>
              </w:rPr>
            </w:pPr>
            <w:r>
              <w:rPr>
                <w:rFonts w:hint="eastAsia" w:ascii="宋体" w:hAnsi="宋体"/>
                <w:szCs w:val="21"/>
              </w:rPr>
              <w:t>供应商202</w:t>
            </w:r>
            <w:r>
              <w:rPr>
                <w:rFonts w:hint="eastAsia" w:ascii="宋体" w:hAnsi="宋体"/>
                <w:szCs w:val="21"/>
                <w:lang w:val="en-US" w:eastAsia="zh-CN"/>
              </w:rPr>
              <w:t>2</w:t>
            </w:r>
            <w:r>
              <w:rPr>
                <w:rFonts w:hint="eastAsia" w:ascii="宋体" w:hAnsi="宋体"/>
                <w:szCs w:val="21"/>
              </w:rPr>
              <w:t>年1月1日至今类似绿化养护项目的业绩（以合同签订日期为准），有一份得2分，满分6分。</w:t>
            </w:r>
          </w:p>
          <w:p w14:paraId="19C6A09D">
            <w:pPr>
              <w:keepNext w:val="0"/>
              <w:keepLines w:val="0"/>
              <w:suppressLineNumbers w:val="0"/>
              <w:tabs>
                <w:tab w:val="left" w:pos="0"/>
                <w:tab w:val="left" w:pos="993"/>
                <w:tab w:val="left" w:pos="1134"/>
              </w:tabs>
              <w:spacing w:before="0" w:beforeAutospacing="0" w:after="0" w:afterAutospacing="0" w:line="360" w:lineRule="auto"/>
              <w:ind w:left="0" w:right="0"/>
              <w:rPr>
                <w:rFonts w:hint="eastAsia" w:ascii="宋体" w:cs="宋体"/>
                <w:szCs w:val="21"/>
              </w:rPr>
            </w:pPr>
            <w:r>
              <w:rPr>
                <w:rFonts w:hint="eastAsia" w:ascii="宋体" w:hAnsi="宋体"/>
                <w:szCs w:val="21"/>
              </w:rPr>
              <w:t>（须提供合同复印件加盖供应商公章，原件备查）</w:t>
            </w:r>
          </w:p>
        </w:tc>
      </w:tr>
      <w:tr w14:paraId="5CF4A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1860" w:type="dxa"/>
            <w:vAlign w:val="center"/>
          </w:tcPr>
          <w:p w14:paraId="744A534E">
            <w:pPr>
              <w:keepNext w:val="0"/>
              <w:keepLines w:val="0"/>
              <w:suppressLineNumbers w:val="0"/>
              <w:spacing w:before="0" w:beforeAutospacing="0" w:after="0" w:afterAutospacing="0"/>
              <w:ind w:left="0" w:right="0"/>
              <w:jc w:val="center"/>
              <w:rPr>
                <w:rFonts w:hint="eastAsia" w:ascii="宋体"/>
                <w:szCs w:val="21"/>
              </w:rPr>
            </w:pPr>
            <w:r>
              <w:rPr>
                <w:rFonts w:hint="eastAsia" w:ascii="宋体" w:hAnsi="宋体"/>
                <w:szCs w:val="21"/>
              </w:rPr>
              <w:t>投标单位资信</w:t>
            </w:r>
          </w:p>
          <w:p w14:paraId="3FBC8D3E">
            <w:pPr>
              <w:keepNext w:val="0"/>
              <w:keepLines w:val="0"/>
              <w:suppressLineNumbers w:val="0"/>
              <w:spacing w:before="0" w:beforeAutospacing="0" w:after="0" w:afterAutospacing="0"/>
              <w:ind w:left="0" w:right="0"/>
              <w:jc w:val="center"/>
              <w:rPr>
                <w:rFonts w:hint="eastAsia" w:ascii="宋体" w:cs="宋体"/>
                <w:szCs w:val="21"/>
              </w:rPr>
            </w:pPr>
            <w:r>
              <w:rPr>
                <w:rFonts w:hint="eastAsia" w:ascii="宋体" w:hAnsi="宋体"/>
                <w:szCs w:val="21"/>
              </w:rPr>
              <w:t>（6分）</w:t>
            </w:r>
          </w:p>
        </w:tc>
        <w:tc>
          <w:tcPr>
            <w:tcW w:w="7609" w:type="dxa"/>
            <w:vAlign w:val="center"/>
          </w:tcPr>
          <w:p w14:paraId="2C15C4B5">
            <w:pPr>
              <w:keepNext w:val="0"/>
              <w:keepLines w:val="0"/>
              <w:suppressLineNumbers w:val="0"/>
              <w:spacing w:before="0" w:beforeAutospacing="0" w:after="0" w:afterAutospacing="0" w:line="360" w:lineRule="auto"/>
              <w:ind w:left="0" w:right="0"/>
              <w:rPr>
                <w:rFonts w:hint="eastAsia" w:ascii="宋体" w:cs="宋体"/>
                <w:szCs w:val="21"/>
              </w:rPr>
            </w:pPr>
            <w:r>
              <w:rPr>
                <w:rFonts w:hint="eastAsia" w:ascii="宋体" w:hAnsi="宋体"/>
                <w:szCs w:val="21"/>
              </w:rPr>
              <w:t>供应商提供有效期内的质量管理体系认证证书、环境管理体系认证证书、职业健康安全管理体系认证证书认证，每提供一项得2分，满分6分。（提供证书复印件加盖供应商公章，原件备查）</w:t>
            </w:r>
          </w:p>
        </w:tc>
      </w:tr>
      <w:tr w14:paraId="51DA7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469" w:type="dxa"/>
            <w:gridSpan w:val="2"/>
            <w:vAlign w:val="center"/>
          </w:tcPr>
          <w:p w14:paraId="374DCDBA">
            <w:pPr>
              <w:keepNext w:val="0"/>
              <w:keepLines w:val="0"/>
              <w:suppressLineNumbers w:val="0"/>
              <w:spacing w:before="0" w:beforeAutospacing="0" w:after="0" w:afterAutospacing="0"/>
              <w:ind w:left="0" w:right="0"/>
              <w:jc w:val="center"/>
              <w:rPr>
                <w:rFonts w:hint="eastAsia" w:ascii="宋体" w:cs="宋体"/>
              </w:rPr>
            </w:pPr>
            <w:r>
              <w:rPr>
                <w:rFonts w:hint="eastAsia" w:ascii="宋体" w:hAnsi="宋体" w:cs="宋体"/>
              </w:rPr>
              <w:t>总 分（100分）</w:t>
            </w:r>
          </w:p>
        </w:tc>
      </w:tr>
    </w:tbl>
    <w:p w14:paraId="67B4543B">
      <w:pPr>
        <w:pStyle w:val="67"/>
        <w:wordWrap w:val="0"/>
        <w:spacing w:line="360" w:lineRule="auto"/>
        <w:ind w:firstLine="0" w:firstLineChars="0"/>
        <w:jc w:val="left"/>
        <w:rPr>
          <w:rFonts w:hint="eastAsia" w:hAnsi="宋体" w:cs="宋体"/>
          <w:color w:val="000000"/>
          <w:szCs w:val="21"/>
        </w:rPr>
      </w:pPr>
      <w:r>
        <w:rPr>
          <w:rFonts w:hint="eastAsia" w:hAnsi="宋体" w:cs="宋体"/>
          <w:color w:val="000000"/>
          <w:szCs w:val="21"/>
        </w:rPr>
        <w:t>注：</w:t>
      </w:r>
    </w:p>
    <w:p w14:paraId="62A1E6E7">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1、评分标准中要求提供</w:t>
      </w:r>
      <w:r>
        <w:rPr>
          <w:rFonts w:hint="eastAsia" w:ascii="宋体" w:hAnsi="宋体" w:eastAsia="宋体" w:cs="宋体"/>
          <w:b/>
          <w:bCs/>
          <w:color w:val="000000"/>
          <w:szCs w:val="21"/>
        </w:rPr>
        <w:t>原件备查</w:t>
      </w:r>
      <w:r>
        <w:rPr>
          <w:rFonts w:hint="eastAsia" w:ascii="宋体" w:hAnsi="宋体" w:eastAsia="宋体" w:cs="宋体"/>
          <w:color w:val="000000"/>
          <w:szCs w:val="21"/>
        </w:rPr>
        <w:t>的，</w:t>
      </w:r>
      <w:r>
        <w:rPr>
          <w:rFonts w:hint="eastAsia" w:ascii="宋体" w:hAnsi="宋体" w:eastAsia="宋体" w:cs="宋体"/>
          <w:b/>
          <w:bCs/>
          <w:color w:val="000000"/>
          <w:szCs w:val="21"/>
        </w:rPr>
        <w:t>必须提供相关原件，否则与之对应项不得分</w:t>
      </w:r>
      <w:r>
        <w:rPr>
          <w:rFonts w:hint="eastAsia" w:ascii="宋体" w:hAnsi="宋体" w:eastAsia="宋体" w:cs="宋体"/>
          <w:color w:val="000000"/>
          <w:szCs w:val="21"/>
        </w:rPr>
        <w:t>。</w:t>
      </w:r>
    </w:p>
    <w:p w14:paraId="215CFB69">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2、提供的材料中涉及评标的相关数据不一致的，以数额较小的为准。上述工程不是供应商承接的工程，不予计分。</w:t>
      </w:r>
    </w:p>
    <w:p w14:paraId="253E3C71">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3、响应文件的正本和副本中均需提供相关原件的复印件加盖供应商公章。</w:t>
      </w:r>
    </w:p>
    <w:p w14:paraId="57197C59">
      <w:pPr>
        <w:spacing w:line="360" w:lineRule="auto"/>
        <w:ind w:firstLine="420" w:firstLineChars="200"/>
        <w:jc w:val="left"/>
        <w:rPr>
          <w:rFonts w:hint="eastAsia" w:hAnsi="宋体" w:cs="宋体"/>
          <w:color w:val="000000"/>
          <w:szCs w:val="21"/>
        </w:rPr>
      </w:pPr>
      <w:r>
        <w:rPr>
          <w:rFonts w:hint="eastAsia" w:hAnsi="宋体" w:cs="宋体"/>
          <w:color w:val="000000"/>
          <w:szCs w:val="21"/>
        </w:rPr>
        <w:t>4、若发现有提供虚假的证明材料，视为无效响应，追究相关责任。</w:t>
      </w:r>
    </w:p>
    <w:p w14:paraId="48874CDA">
      <w:pPr>
        <w:pStyle w:val="11"/>
        <w:spacing w:before="0" w:after="0" w:line="360" w:lineRule="auto"/>
        <w:jc w:val="center"/>
        <w:rPr>
          <w:rFonts w:hint="eastAsia" w:ascii="宋体" w:hAnsi="宋体" w:eastAsia="宋体" w:cs="Arial"/>
          <w:bCs/>
          <w:szCs w:val="44"/>
        </w:rPr>
      </w:pPr>
      <w:r>
        <w:rPr>
          <w:rFonts w:ascii="宋体" w:hAnsi="宋体" w:eastAsia="宋体" w:cs="Arial"/>
          <w:bCs/>
          <w:szCs w:val="44"/>
        </w:rPr>
        <w:br w:type="page"/>
      </w:r>
      <w:r>
        <w:rPr>
          <w:rFonts w:hint="eastAsia" w:ascii="宋体" w:hAnsi="宋体" w:eastAsia="宋体" w:cs="Arial"/>
          <w:bCs/>
          <w:szCs w:val="44"/>
        </w:rPr>
        <w:t>第六章  竞争性磋商响应文件格式</w:t>
      </w:r>
    </w:p>
    <w:p w14:paraId="1F15DFB9">
      <w:pPr>
        <w:pStyle w:val="11"/>
        <w:spacing w:before="0" w:after="0" w:line="360" w:lineRule="auto"/>
        <w:rPr>
          <w:rFonts w:hint="eastAsia" w:ascii="宋体" w:hAnsi="宋体" w:eastAsia="宋体" w:cs="Arial"/>
          <w:bCs/>
          <w:szCs w:val="44"/>
        </w:rPr>
      </w:pPr>
    </w:p>
    <w:p w14:paraId="55E6B3BD">
      <w:pPr>
        <w:pStyle w:val="11"/>
        <w:spacing w:before="0" w:after="0" w:line="360" w:lineRule="auto"/>
        <w:rPr>
          <w:rFonts w:hint="eastAsia" w:ascii="宋体" w:hAnsi="宋体" w:eastAsia="宋体" w:cs="Arial"/>
          <w:bCs/>
          <w:szCs w:val="44"/>
        </w:rPr>
      </w:pPr>
      <w:r>
        <w:rPr>
          <w:rFonts w:hint="eastAsia" w:ascii="宋体" w:hAnsi="宋体" w:eastAsia="宋体" w:cs="Arial"/>
          <w:bCs/>
          <w:szCs w:val="44"/>
        </w:rPr>
        <w:t xml:space="preserve"> </w:t>
      </w:r>
    </w:p>
    <w:p w14:paraId="27108C73">
      <w:pPr>
        <w:pStyle w:val="11"/>
        <w:spacing w:before="0" w:after="0" w:line="360" w:lineRule="auto"/>
        <w:jc w:val="center"/>
        <w:rPr>
          <w:rFonts w:hint="eastAsia" w:ascii="宋体" w:hAnsi="宋体" w:eastAsia="宋体" w:cs="Arial"/>
          <w:bCs/>
          <w:szCs w:val="44"/>
        </w:rPr>
      </w:pPr>
    </w:p>
    <w:p w14:paraId="06E12F93">
      <w:pPr>
        <w:pStyle w:val="11"/>
        <w:spacing w:before="0" w:after="0" w:line="360" w:lineRule="auto"/>
        <w:jc w:val="center"/>
        <w:rPr>
          <w:rFonts w:hint="eastAsia" w:ascii="宋体" w:hAnsi="宋体" w:eastAsia="宋体" w:cs="Arial"/>
          <w:bCs/>
          <w:szCs w:val="44"/>
        </w:rPr>
      </w:pPr>
    </w:p>
    <w:p w14:paraId="0F475190">
      <w:pPr>
        <w:pStyle w:val="11"/>
        <w:spacing w:before="0" w:after="0" w:line="360" w:lineRule="auto"/>
        <w:jc w:val="center"/>
        <w:rPr>
          <w:rFonts w:hint="eastAsia" w:ascii="宋体" w:hAnsi="宋体" w:eastAsia="宋体" w:cs="Arial"/>
          <w:bCs/>
          <w:szCs w:val="44"/>
        </w:rPr>
      </w:pPr>
      <w:r>
        <w:rPr>
          <w:rFonts w:hint="eastAsia" w:ascii="宋体" w:hAnsi="宋体" w:eastAsia="宋体" w:cs="Arial"/>
          <w:bCs/>
          <w:szCs w:val="44"/>
        </w:rPr>
        <w:t>竞争性磋商响应文件</w:t>
      </w:r>
    </w:p>
    <w:p w14:paraId="5AFB073B">
      <w:pPr>
        <w:pStyle w:val="11"/>
        <w:spacing w:before="0" w:after="0" w:line="360" w:lineRule="auto"/>
        <w:jc w:val="center"/>
        <w:rPr>
          <w:rFonts w:hint="eastAsia" w:ascii="宋体" w:hAnsi="宋体" w:eastAsia="宋体" w:cs="Arial"/>
          <w:bCs/>
          <w:szCs w:val="44"/>
        </w:rPr>
      </w:pPr>
    </w:p>
    <w:p w14:paraId="1473E72F">
      <w:pPr>
        <w:pStyle w:val="11"/>
        <w:spacing w:before="0" w:after="0" w:line="360" w:lineRule="auto"/>
        <w:jc w:val="center"/>
        <w:rPr>
          <w:rFonts w:hint="eastAsia" w:ascii="宋体" w:hAnsi="宋体" w:eastAsia="宋体" w:cs="Arial"/>
          <w:bCs/>
          <w:szCs w:val="44"/>
        </w:rPr>
      </w:pPr>
    </w:p>
    <w:p w14:paraId="30BA684F">
      <w:pPr>
        <w:pStyle w:val="11"/>
        <w:spacing w:before="0" w:after="0" w:line="360" w:lineRule="auto"/>
        <w:jc w:val="center"/>
        <w:rPr>
          <w:rFonts w:hint="eastAsia" w:ascii="宋体" w:hAnsi="宋体" w:eastAsia="宋体" w:cs="Arial"/>
          <w:bCs/>
          <w:szCs w:val="44"/>
        </w:rPr>
      </w:pPr>
    </w:p>
    <w:p w14:paraId="43035197">
      <w:pPr>
        <w:pStyle w:val="11"/>
        <w:spacing w:before="0" w:after="0" w:line="360" w:lineRule="auto"/>
        <w:jc w:val="center"/>
        <w:rPr>
          <w:rFonts w:hint="eastAsia" w:ascii="宋体" w:hAnsi="宋体" w:eastAsia="宋体" w:cs="Arial"/>
          <w:bCs/>
          <w:szCs w:val="44"/>
        </w:rPr>
      </w:pPr>
    </w:p>
    <w:p w14:paraId="3737EE9B">
      <w:pPr>
        <w:pStyle w:val="11"/>
        <w:spacing w:before="0" w:after="0" w:line="360" w:lineRule="auto"/>
        <w:jc w:val="center"/>
        <w:rPr>
          <w:rFonts w:hint="eastAsia" w:ascii="宋体" w:hAnsi="宋体" w:eastAsia="宋体" w:cs="Arial"/>
          <w:bCs/>
          <w:szCs w:val="44"/>
        </w:rPr>
      </w:pPr>
    </w:p>
    <w:p w14:paraId="736A4E54">
      <w:pPr>
        <w:pStyle w:val="11"/>
        <w:spacing w:before="0" w:after="0" w:line="360" w:lineRule="auto"/>
        <w:jc w:val="center"/>
        <w:rPr>
          <w:rFonts w:hint="eastAsia" w:ascii="宋体" w:hAnsi="宋体" w:eastAsia="宋体" w:cs="Arial"/>
          <w:bCs/>
          <w:szCs w:val="44"/>
        </w:rPr>
      </w:pPr>
    </w:p>
    <w:p w14:paraId="64540FEB">
      <w:pPr>
        <w:pStyle w:val="11"/>
        <w:spacing w:before="0" w:after="0" w:line="360" w:lineRule="auto"/>
        <w:jc w:val="center"/>
        <w:rPr>
          <w:rFonts w:hint="eastAsia" w:ascii="宋体" w:hAnsi="宋体" w:eastAsia="宋体" w:cs="Arial"/>
          <w:bCs/>
          <w:szCs w:val="44"/>
        </w:rPr>
      </w:pPr>
      <w:r>
        <w:rPr>
          <w:rFonts w:hint="eastAsia" w:ascii="宋体" w:hAnsi="宋体" w:eastAsia="宋体" w:cs="Arial"/>
          <w:bCs/>
          <w:szCs w:val="44"/>
        </w:rPr>
        <w:t>（正本或副本）</w:t>
      </w:r>
    </w:p>
    <w:p w14:paraId="3847B76C">
      <w:pPr>
        <w:pStyle w:val="11"/>
        <w:spacing w:before="0" w:after="0" w:line="360" w:lineRule="auto"/>
        <w:rPr>
          <w:rFonts w:hint="eastAsia" w:ascii="宋体" w:hAnsi="宋体" w:eastAsia="宋体" w:cs="Arial"/>
          <w:bCs/>
          <w:szCs w:val="44"/>
        </w:rPr>
      </w:pPr>
    </w:p>
    <w:p w14:paraId="346FBDB9">
      <w:pPr>
        <w:pStyle w:val="11"/>
        <w:spacing w:before="0" w:after="0" w:line="360" w:lineRule="auto"/>
        <w:rPr>
          <w:rFonts w:hint="eastAsia" w:ascii="宋体" w:hAnsi="宋体" w:eastAsia="宋体" w:cs="Arial"/>
          <w:bCs/>
          <w:szCs w:val="44"/>
        </w:rPr>
      </w:pPr>
    </w:p>
    <w:p w14:paraId="00257256">
      <w:pPr>
        <w:pStyle w:val="11"/>
        <w:spacing w:before="0" w:after="0" w:line="360" w:lineRule="auto"/>
        <w:ind w:firstLine="964" w:firstLineChars="300"/>
        <w:jc w:val="left"/>
        <w:rPr>
          <w:rFonts w:hint="eastAsia" w:ascii="宋体" w:hAnsi="宋体" w:eastAsia="宋体" w:cs="Arial"/>
          <w:bCs/>
          <w:sz w:val="32"/>
          <w:szCs w:val="32"/>
        </w:rPr>
      </w:pPr>
      <w:r>
        <w:rPr>
          <w:rFonts w:hint="eastAsia" w:ascii="宋体" w:hAnsi="宋体" w:eastAsia="宋体" w:cs="Arial"/>
          <w:bCs/>
          <w:sz w:val="32"/>
          <w:szCs w:val="32"/>
        </w:rPr>
        <w:t>项目名称：</w:t>
      </w:r>
    </w:p>
    <w:p w14:paraId="0316321D">
      <w:pPr>
        <w:pStyle w:val="11"/>
        <w:spacing w:before="0" w:after="0" w:line="360" w:lineRule="auto"/>
        <w:ind w:firstLine="993" w:firstLineChars="309"/>
        <w:jc w:val="left"/>
        <w:rPr>
          <w:rFonts w:hint="eastAsia" w:ascii="宋体" w:hAnsi="宋体" w:eastAsia="宋体" w:cs="Arial"/>
          <w:bCs/>
          <w:sz w:val="32"/>
          <w:szCs w:val="32"/>
        </w:rPr>
      </w:pPr>
      <w:r>
        <w:rPr>
          <w:rFonts w:hint="eastAsia" w:ascii="宋体" w:hAnsi="宋体" w:eastAsia="宋体" w:cs="Arial"/>
          <w:bCs/>
          <w:sz w:val="32"/>
          <w:szCs w:val="32"/>
        </w:rPr>
        <w:t>项目编号：</w:t>
      </w:r>
    </w:p>
    <w:p w14:paraId="32792C3A">
      <w:pPr>
        <w:pStyle w:val="11"/>
        <w:spacing w:before="0" w:after="0" w:line="360" w:lineRule="auto"/>
        <w:ind w:firstLine="993" w:firstLineChars="309"/>
        <w:jc w:val="left"/>
        <w:rPr>
          <w:rFonts w:hint="eastAsia" w:ascii="宋体" w:hAnsi="宋体" w:eastAsia="宋体" w:cs="Arial"/>
          <w:bCs/>
          <w:sz w:val="32"/>
          <w:szCs w:val="32"/>
        </w:rPr>
      </w:pPr>
      <w:r>
        <w:rPr>
          <w:rFonts w:hint="eastAsia" w:ascii="宋体" w:hAnsi="宋体" w:eastAsia="宋体" w:cs="Arial"/>
          <w:bCs/>
          <w:sz w:val="32"/>
          <w:szCs w:val="32"/>
        </w:rPr>
        <w:t xml:space="preserve">磋商供应商名称：               </w:t>
      </w:r>
    </w:p>
    <w:p w14:paraId="12494AA5">
      <w:pPr>
        <w:pStyle w:val="11"/>
        <w:spacing w:before="0" w:after="0" w:line="360" w:lineRule="auto"/>
        <w:ind w:firstLine="993" w:firstLineChars="309"/>
        <w:jc w:val="left"/>
        <w:rPr>
          <w:rFonts w:hint="eastAsia" w:ascii="宋体" w:hAnsi="宋体" w:eastAsia="宋体" w:cs="Arial"/>
          <w:bCs/>
          <w:sz w:val="32"/>
          <w:szCs w:val="32"/>
        </w:rPr>
      </w:pPr>
      <w:r>
        <w:rPr>
          <w:rFonts w:hint="eastAsia" w:ascii="宋体" w:hAnsi="宋体" w:eastAsia="宋体" w:cs="Arial"/>
          <w:bCs/>
          <w:sz w:val="32"/>
          <w:szCs w:val="32"/>
        </w:rPr>
        <w:t>日期：</w:t>
      </w:r>
    </w:p>
    <w:p w14:paraId="1811D4DB">
      <w:pPr>
        <w:pStyle w:val="11"/>
        <w:spacing w:before="0" w:after="0" w:line="360" w:lineRule="auto"/>
        <w:rPr>
          <w:rFonts w:hint="eastAsia" w:ascii="宋体" w:hAnsi="宋体" w:eastAsia="宋体" w:cs="Arial"/>
          <w:bCs/>
          <w:szCs w:val="44"/>
        </w:rPr>
      </w:pPr>
    </w:p>
    <w:p w14:paraId="29C3DDCD">
      <w:pPr>
        <w:pStyle w:val="11"/>
        <w:spacing w:before="0" w:after="0" w:line="360" w:lineRule="auto"/>
        <w:rPr>
          <w:rFonts w:hint="eastAsia" w:ascii="宋体" w:hAnsi="宋体" w:eastAsia="宋体" w:cs="Arial"/>
          <w:bCs/>
          <w:szCs w:val="44"/>
        </w:rPr>
      </w:pPr>
    </w:p>
    <w:p w14:paraId="148DD5B5">
      <w:pPr>
        <w:pStyle w:val="11"/>
        <w:spacing w:before="0" w:after="0" w:line="360" w:lineRule="auto"/>
        <w:rPr>
          <w:rFonts w:hint="eastAsia" w:ascii="宋体" w:hAnsi="宋体" w:eastAsia="宋体" w:cs="Arial"/>
          <w:bCs/>
          <w:szCs w:val="44"/>
        </w:rPr>
      </w:pPr>
    </w:p>
    <w:p w14:paraId="63431DAF">
      <w:pPr>
        <w:pStyle w:val="11"/>
        <w:spacing w:before="0" w:after="0" w:line="360" w:lineRule="auto"/>
        <w:jc w:val="center"/>
        <w:rPr>
          <w:rFonts w:ascii="宋体" w:hAnsi="宋体" w:eastAsia="宋体"/>
          <w:sz w:val="28"/>
          <w:szCs w:val="28"/>
        </w:rPr>
      </w:pPr>
      <w:r>
        <w:rPr>
          <w:rFonts w:ascii="宋体" w:hAnsi="宋体" w:eastAsia="宋体" w:cs="Arial"/>
          <w:bCs/>
          <w:szCs w:val="44"/>
        </w:rPr>
        <w:br w:type="page"/>
      </w:r>
      <w:bookmarkStart w:id="135" w:name="_Toc120614284"/>
      <w:bookmarkStart w:id="136" w:name="_Toc26554103"/>
      <w:bookmarkStart w:id="137" w:name="_Toc120614291"/>
      <w:bookmarkStart w:id="138" w:name="_Toc22356583"/>
      <w:bookmarkStart w:id="139" w:name="_Toc23828483"/>
      <w:bookmarkStart w:id="140" w:name="_Toc24878535"/>
      <w:bookmarkStart w:id="141" w:name="_Toc49090582"/>
      <w:bookmarkStart w:id="142" w:name="_Toc513029281"/>
      <w:r>
        <w:rPr>
          <w:rFonts w:hint="eastAsia" w:ascii="宋体" w:hAnsi="宋体" w:eastAsia="宋体"/>
          <w:sz w:val="28"/>
          <w:szCs w:val="28"/>
        </w:rPr>
        <w:t>评分索引表</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0"/>
        <w:gridCol w:w="3570"/>
      </w:tblGrid>
      <w:tr w14:paraId="465F7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top"/>
          </w:tcPr>
          <w:p w14:paraId="0EEC4978">
            <w:pPr>
              <w:pStyle w:val="69"/>
              <w:keepNext w:val="0"/>
              <w:keepLines w:val="0"/>
              <w:suppressLineNumbers w:val="0"/>
              <w:spacing w:before="0" w:beforeAutospacing="0" w:after="0" w:afterAutospacing="0" w:line="360" w:lineRule="auto"/>
              <w:ind w:left="0" w:right="0"/>
              <w:jc w:val="center"/>
              <w:rPr>
                <w:rFonts w:hint="eastAsia" w:ascii="宋体" w:hAnsi="宋体"/>
                <w:b/>
                <w:bCs/>
                <w:sz w:val="21"/>
                <w:szCs w:val="21"/>
                <w:lang w:eastAsia="zh-CN"/>
              </w:rPr>
            </w:pPr>
            <w:r>
              <w:rPr>
                <w:rFonts w:hint="eastAsia" w:ascii="宋体" w:hAnsi="宋体"/>
                <w:b/>
                <w:sz w:val="21"/>
                <w:szCs w:val="21"/>
              </w:rPr>
              <w:t>评分项目</w:t>
            </w:r>
          </w:p>
        </w:tc>
        <w:tc>
          <w:tcPr>
            <w:tcW w:w="3570" w:type="dxa"/>
            <w:vAlign w:val="top"/>
          </w:tcPr>
          <w:p w14:paraId="604D16EB">
            <w:pPr>
              <w:keepNext w:val="0"/>
              <w:keepLines w:val="0"/>
              <w:suppressLineNumbers w:val="0"/>
              <w:spacing w:before="0" w:beforeAutospacing="0" w:after="0" w:afterAutospacing="0" w:line="360" w:lineRule="auto"/>
              <w:ind w:left="0" w:right="0"/>
              <w:jc w:val="center"/>
              <w:rPr>
                <w:rFonts w:hint="eastAsia" w:ascii="宋体" w:hAnsi="宋体"/>
                <w:b/>
                <w:szCs w:val="21"/>
              </w:rPr>
            </w:pPr>
            <w:r>
              <w:rPr>
                <w:rFonts w:hint="eastAsia" w:ascii="宋体" w:hAnsi="宋体"/>
                <w:b/>
                <w:kern w:val="0"/>
                <w:szCs w:val="21"/>
                <w:lang w:bidi="en-US"/>
              </w:rPr>
              <w:t>在响应文件中的页码位置</w:t>
            </w:r>
          </w:p>
        </w:tc>
      </w:tr>
      <w:tr w14:paraId="22B76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5670" w:type="dxa"/>
            <w:vAlign w:val="top"/>
          </w:tcPr>
          <w:p w14:paraId="30C0EC45">
            <w:pPr>
              <w:pStyle w:val="69"/>
              <w:keepNext w:val="0"/>
              <w:keepLines w:val="0"/>
              <w:suppressLineNumbers w:val="0"/>
              <w:spacing w:before="0" w:beforeAutospacing="0" w:after="0" w:afterAutospacing="0" w:line="360" w:lineRule="auto"/>
              <w:ind w:left="0" w:right="0"/>
              <w:jc w:val="both"/>
              <w:rPr>
                <w:rFonts w:hint="eastAsia" w:ascii="宋体" w:hAnsi="宋体"/>
                <w:b/>
                <w:sz w:val="21"/>
                <w:szCs w:val="21"/>
                <w:lang w:eastAsia="zh-CN"/>
              </w:rPr>
            </w:pPr>
          </w:p>
        </w:tc>
        <w:tc>
          <w:tcPr>
            <w:tcW w:w="3570" w:type="dxa"/>
            <w:vAlign w:val="top"/>
          </w:tcPr>
          <w:p w14:paraId="1FA1D054">
            <w:pPr>
              <w:keepNext w:val="0"/>
              <w:keepLines w:val="0"/>
              <w:suppressLineNumbers w:val="0"/>
              <w:spacing w:before="0" w:beforeAutospacing="0" w:after="0" w:afterAutospacing="0" w:line="360" w:lineRule="auto"/>
              <w:ind w:left="0" w:right="0"/>
              <w:rPr>
                <w:rFonts w:hint="eastAsia" w:ascii="宋体" w:hAnsi="宋体"/>
                <w:b/>
                <w:kern w:val="0"/>
                <w:szCs w:val="21"/>
                <w:lang w:bidi="en-US"/>
              </w:rPr>
            </w:pPr>
          </w:p>
        </w:tc>
      </w:tr>
      <w:tr w14:paraId="41772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240" w:type="dxa"/>
            <w:gridSpan w:val="2"/>
            <w:vAlign w:val="top"/>
          </w:tcPr>
          <w:p w14:paraId="58DF967D">
            <w:pPr>
              <w:pStyle w:val="69"/>
              <w:keepNext w:val="0"/>
              <w:keepLines w:val="0"/>
              <w:suppressLineNumbers w:val="0"/>
              <w:spacing w:before="0" w:beforeAutospacing="0" w:after="0" w:afterAutospacing="0" w:line="360" w:lineRule="auto"/>
              <w:ind w:left="0" w:right="0"/>
              <w:jc w:val="both"/>
              <w:rPr>
                <w:rFonts w:hint="eastAsia" w:ascii="宋体" w:hAnsi="宋体"/>
                <w:sz w:val="21"/>
                <w:szCs w:val="21"/>
                <w:lang w:eastAsia="zh-CN"/>
              </w:rPr>
            </w:pPr>
          </w:p>
        </w:tc>
      </w:tr>
      <w:tr w14:paraId="27736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top"/>
          </w:tcPr>
          <w:p w14:paraId="66C7F35B">
            <w:pPr>
              <w:pStyle w:val="69"/>
              <w:keepNext w:val="0"/>
              <w:keepLines w:val="0"/>
              <w:suppressLineNumbers w:val="0"/>
              <w:spacing w:before="0" w:beforeAutospacing="0" w:after="0" w:afterAutospacing="0" w:line="360" w:lineRule="auto"/>
              <w:ind w:left="0" w:right="0"/>
              <w:rPr>
                <w:rFonts w:hint="eastAsia" w:ascii="宋体" w:hAnsi="宋体"/>
                <w:sz w:val="21"/>
                <w:szCs w:val="21"/>
                <w:lang w:eastAsia="zh-CN"/>
              </w:rPr>
            </w:pPr>
          </w:p>
        </w:tc>
        <w:tc>
          <w:tcPr>
            <w:tcW w:w="3570" w:type="dxa"/>
            <w:vAlign w:val="top"/>
          </w:tcPr>
          <w:p w14:paraId="19661B7F">
            <w:pPr>
              <w:keepNext w:val="0"/>
              <w:keepLines w:val="0"/>
              <w:suppressLineNumbers w:val="0"/>
              <w:spacing w:before="0" w:beforeAutospacing="0" w:after="0" w:afterAutospacing="0" w:line="360" w:lineRule="auto"/>
              <w:ind w:left="0" w:right="0"/>
              <w:rPr>
                <w:rFonts w:hint="eastAsia" w:ascii="宋体" w:hAnsi="宋体"/>
                <w:szCs w:val="21"/>
              </w:rPr>
            </w:pPr>
          </w:p>
        </w:tc>
      </w:tr>
      <w:tr w14:paraId="63877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5670" w:type="dxa"/>
            <w:vAlign w:val="top"/>
          </w:tcPr>
          <w:p w14:paraId="6E379628">
            <w:pPr>
              <w:pStyle w:val="69"/>
              <w:keepNext w:val="0"/>
              <w:keepLines w:val="0"/>
              <w:suppressLineNumbers w:val="0"/>
              <w:spacing w:before="0" w:beforeAutospacing="0" w:after="0" w:afterAutospacing="0" w:line="360" w:lineRule="auto"/>
              <w:ind w:left="0" w:right="0"/>
              <w:rPr>
                <w:rFonts w:hint="eastAsia" w:ascii="宋体" w:hAnsi="宋体"/>
                <w:sz w:val="21"/>
                <w:szCs w:val="21"/>
                <w:lang w:eastAsia="zh-CN"/>
              </w:rPr>
            </w:pPr>
          </w:p>
        </w:tc>
        <w:tc>
          <w:tcPr>
            <w:tcW w:w="3570" w:type="dxa"/>
            <w:vAlign w:val="top"/>
          </w:tcPr>
          <w:p w14:paraId="4F62430E">
            <w:pPr>
              <w:keepNext w:val="0"/>
              <w:keepLines w:val="0"/>
              <w:suppressLineNumbers w:val="0"/>
              <w:spacing w:before="0" w:beforeAutospacing="0" w:after="0" w:afterAutospacing="0" w:line="360" w:lineRule="auto"/>
              <w:ind w:left="0" w:right="0"/>
              <w:rPr>
                <w:rFonts w:hint="eastAsia" w:ascii="宋体" w:hAnsi="宋体"/>
                <w:szCs w:val="21"/>
              </w:rPr>
            </w:pPr>
          </w:p>
        </w:tc>
      </w:tr>
      <w:tr w14:paraId="20AF0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top"/>
          </w:tcPr>
          <w:p w14:paraId="183185E7">
            <w:pPr>
              <w:pStyle w:val="69"/>
              <w:keepNext w:val="0"/>
              <w:keepLines w:val="0"/>
              <w:suppressLineNumbers w:val="0"/>
              <w:spacing w:before="0" w:beforeAutospacing="0" w:after="0" w:afterAutospacing="0" w:line="360" w:lineRule="auto"/>
              <w:ind w:left="0" w:right="0"/>
              <w:rPr>
                <w:rFonts w:hint="eastAsia" w:ascii="宋体" w:hAnsi="宋体"/>
                <w:sz w:val="21"/>
                <w:szCs w:val="21"/>
                <w:lang w:eastAsia="zh-CN"/>
              </w:rPr>
            </w:pPr>
          </w:p>
        </w:tc>
        <w:tc>
          <w:tcPr>
            <w:tcW w:w="3570" w:type="dxa"/>
            <w:vAlign w:val="top"/>
          </w:tcPr>
          <w:p w14:paraId="4C817E36">
            <w:pPr>
              <w:keepNext w:val="0"/>
              <w:keepLines w:val="0"/>
              <w:suppressLineNumbers w:val="0"/>
              <w:spacing w:before="0" w:beforeAutospacing="0" w:after="0" w:afterAutospacing="0" w:line="360" w:lineRule="auto"/>
              <w:ind w:left="0" w:right="0"/>
              <w:rPr>
                <w:rFonts w:hint="eastAsia" w:ascii="宋体" w:hAnsi="宋体"/>
                <w:szCs w:val="21"/>
              </w:rPr>
            </w:pPr>
          </w:p>
        </w:tc>
      </w:tr>
      <w:tr w14:paraId="6A3BF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trPr>
        <w:tc>
          <w:tcPr>
            <w:tcW w:w="5670" w:type="dxa"/>
            <w:vAlign w:val="top"/>
          </w:tcPr>
          <w:p w14:paraId="1FA12598">
            <w:pPr>
              <w:pStyle w:val="69"/>
              <w:keepNext w:val="0"/>
              <w:keepLines w:val="0"/>
              <w:suppressLineNumbers w:val="0"/>
              <w:spacing w:before="0" w:beforeAutospacing="0" w:after="0" w:afterAutospacing="0" w:line="360" w:lineRule="auto"/>
              <w:ind w:left="0" w:right="0"/>
              <w:rPr>
                <w:rFonts w:hint="eastAsia" w:ascii="宋体" w:hAnsi="宋体"/>
                <w:sz w:val="21"/>
                <w:szCs w:val="21"/>
                <w:lang w:eastAsia="zh-CN"/>
              </w:rPr>
            </w:pPr>
          </w:p>
        </w:tc>
        <w:tc>
          <w:tcPr>
            <w:tcW w:w="3570" w:type="dxa"/>
            <w:vAlign w:val="top"/>
          </w:tcPr>
          <w:p w14:paraId="1C872AD2">
            <w:pPr>
              <w:keepNext w:val="0"/>
              <w:keepLines w:val="0"/>
              <w:suppressLineNumbers w:val="0"/>
              <w:spacing w:before="0" w:beforeAutospacing="0" w:after="0" w:afterAutospacing="0" w:line="360" w:lineRule="auto"/>
              <w:ind w:left="0" w:right="0"/>
              <w:rPr>
                <w:rFonts w:hint="eastAsia" w:ascii="宋体" w:hAnsi="宋体"/>
                <w:szCs w:val="21"/>
              </w:rPr>
            </w:pPr>
          </w:p>
        </w:tc>
      </w:tr>
      <w:tr w14:paraId="634D0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vAlign w:val="top"/>
          </w:tcPr>
          <w:p w14:paraId="4ED0D9BE">
            <w:pPr>
              <w:pStyle w:val="69"/>
              <w:keepNext w:val="0"/>
              <w:keepLines w:val="0"/>
              <w:suppressLineNumbers w:val="0"/>
              <w:spacing w:before="0" w:beforeAutospacing="0" w:after="0" w:afterAutospacing="0" w:line="360" w:lineRule="auto"/>
              <w:ind w:left="0" w:right="0"/>
              <w:rPr>
                <w:rFonts w:hint="eastAsia" w:ascii="宋体" w:hAnsi="宋体"/>
                <w:sz w:val="21"/>
                <w:szCs w:val="21"/>
                <w:lang w:eastAsia="zh-CN"/>
              </w:rPr>
            </w:pPr>
          </w:p>
        </w:tc>
        <w:tc>
          <w:tcPr>
            <w:tcW w:w="3570" w:type="dxa"/>
            <w:vAlign w:val="top"/>
          </w:tcPr>
          <w:p w14:paraId="58EFB8DE">
            <w:pPr>
              <w:keepNext w:val="0"/>
              <w:keepLines w:val="0"/>
              <w:suppressLineNumbers w:val="0"/>
              <w:spacing w:before="0" w:beforeAutospacing="0" w:after="0" w:afterAutospacing="0" w:line="360" w:lineRule="auto"/>
              <w:ind w:left="0" w:right="0"/>
              <w:rPr>
                <w:rFonts w:hint="eastAsia" w:ascii="宋体" w:hAnsi="宋体"/>
                <w:szCs w:val="21"/>
              </w:rPr>
            </w:pPr>
          </w:p>
        </w:tc>
      </w:tr>
      <w:tr w14:paraId="6CF96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9240" w:type="dxa"/>
            <w:gridSpan w:val="2"/>
            <w:vAlign w:val="top"/>
          </w:tcPr>
          <w:p w14:paraId="1312D991">
            <w:pPr>
              <w:pStyle w:val="69"/>
              <w:keepNext w:val="0"/>
              <w:keepLines w:val="0"/>
              <w:suppressLineNumbers w:val="0"/>
              <w:spacing w:before="0" w:beforeAutospacing="0" w:after="0" w:afterAutospacing="0" w:line="360" w:lineRule="auto"/>
              <w:ind w:left="0" w:right="0"/>
              <w:jc w:val="both"/>
              <w:rPr>
                <w:rFonts w:hint="eastAsia" w:ascii="宋体" w:hAnsi="宋体"/>
                <w:sz w:val="21"/>
                <w:szCs w:val="21"/>
                <w:lang w:eastAsia="zh-CN"/>
              </w:rPr>
            </w:pPr>
          </w:p>
        </w:tc>
      </w:tr>
      <w:tr w14:paraId="78E8C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670" w:type="dxa"/>
            <w:vAlign w:val="top"/>
          </w:tcPr>
          <w:p w14:paraId="4849B649">
            <w:pPr>
              <w:pStyle w:val="69"/>
              <w:keepNext w:val="0"/>
              <w:keepLines w:val="0"/>
              <w:suppressLineNumbers w:val="0"/>
              <w:spacing w:before="0" w:beforeAutospacing="0" w:after="0" w:afterAutospacing="0" w:line="360" w:lineRule="auto"/>
              <w:ind w:left="0" w:right="0"/>
              <w:rPr>
                <w:rFonts w:hint="eastAsia" w:ascii="宋体" w:hAnsi="宋体"/>
                <w:sz w:val="21"/>
                <w:szCs w:val="21"/>
                <w:lang w:eastAsia="zh-CN"/>
              </w:rPr>
            </w:pPr>
          </w:p>
        </w:tc>
        <w:tc>
          <w:tcPr>
            <w:tcW w:w="3570" w:type="dxa"/>
            <w:vAlign w:val="top"/>
          </w:tcPr>
          <w:p w14:paraId="5C526C8D">
            <w:pPr>
              <w:keepNext w:val="0"/>
              <w:keepLines w:val="0"/>
              <w:suppressLineNumbers w:val="0"/>
              <w:spacing w:before="0" w:beforeAutospacing="0" w:after="0" w:afterAutospacing="0" w:line="360" w:lineRule="auto"/>
              <w:ind w:left="0" w:right="0"/>
              <w:rPr>
                <w:rFonts w:hint="eastAsia" w:ascii="宋体" w:hAnsi="宋体"/>
                <w:szCs w:val="21"/>
              </w:rPr>
            </w:pPr>
          </w:p>
        </w:tc>
      </w:tr>
      <w:tr w14:paraId="2D39F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5670" w:type="dxa"/>
            <w:vAlign w:val="top"/>
          </w:tcPr>
          <w:p w14:paraId="559B6670">
            <w:pPr>
              <w:pStyle w:val="69"/>
              <w:keepNext w:val="0"/>
              <w:keepLines w:val="0"/>
              <w:suppressLineNumbers w:val="0"/>
              <w:spacing w:before="0" w:beforeAutospacing="0" w:after="0" w:afterAutospacing="0" w:line="360" w:lineRule="auto"/>
              <w:ind w:left="0" w:right="0"/>
              <w:rPr>
                <w:rFonts w:hint="eastAsia" w:ascii="宋体" w:hAnsi="宋体"/>
                <w:sz w:val="21"/>
                <w:szCs w:val="21"/>
                <w:lang w:eastAsia="zh-CN"/>
              </w:rPr>
            </w:pPr>
          </w:p>
        </w:tc>
        <w:tc>
          <w:tcPr>
            <w:tcW w:w="3570" w:type="dxa"/>
            <w:vAlign w:val="top"/>
          </w:tcPr>
          <w:p w14:paraId="09A2B153">
            <w:pPr>
              <w:keepNext w:val="0"/>
              <w:keepLines w:val="0"/>
              <w:suppressLineNumbers w:val="0"/>
              <w:spacing w:before="0" w:beforeAutospacing="0" w:after="0" w:afterAutospacing="0" w:line="360" w:lineRule="auto"/>
              <w:ind w:left="0" w:right="0"/>
              <w:rPr>
                <w:rFonts w:hint="eastAsia" w:ascii="宋体" w:hAnsi="宋体"/>
                <w:szCs w:val="21"/>
              </w:rPr>
            </w:pPr>
          </w:p>
        </w:tc>
      </w:tr>
      <w:tr w14:paraId="0D712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5670" w:type="dxa"/>
            <w:vAlign w:val="top"/>
          </w:tcPr>
          <w:p w14:paraId="36E5FC97">
            <w:pPr>
              <w:pStyle w:val="69"/>
              <w:keepNext w:val="0"/>
              <w:keepLines w:val="0"/>
              <w:suppressLineNumbers w:val="0"/>
              <w:spacing w:before="0" w:beforeAutospacing="0" w:after="0" w:afterAutospacing="0" w:line="360" w:lineRule="auto"/>
              <w:ind w:left="0" w:right="0"/>
              <w:rPr>
                <w:rFonts w:hint="eastAsia" w:ascii="宋体" w:hAnsi="宋体"/>
                <w:sz w:val="21"/>
                <w:szCs w:val="21"/>
                <w:lang w:eastAsia="zh-CN"/>
              </w:rPr>
            </w:pPr>
          </w:p>
        </w:tc>
        <w:tc>
          <w:tcPr>
            <w:tcW w:w="3570" w:type="dxa"/>
            <w:vAlign w:val="top"/>
          </w:tcPr>
          <w:p w14:paraId="150ACE25">
            <w:pPr>
              <w:keepNext w:val="0"/>
              <w:keepLines w:val="0"/>
              <w:suppressLineNumbers w:val="0"/>
              <w:spacing w:before="0" w:beforeAutospacing="0" w:after="0" w:afterAutospacing="0" w:line="360" w:lineRule="auto"/>
              <w:ind w:left="0" w:right="0"/>
              <w:rPr>
                <w:rFonts w:hint="eastAsia" w:ascii="宋体" w:hAnsi="宋体"/>
                <w:szCs w:val="21"/>
              </w:rPr>
            </w:pPr>
          </w:p>
        </w:tc>
      </w:tr>
      <w:tr w14:paraId="66BD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 w:hRule="atLeast"/>
        </w:trPr>
        <w:tc>
          <w:tcPr>
            <w:tcW w:w="5670" w:type="dxa"/>
            <w:vAlign w:val="top"/>
          </w:tcPr>
          <w:p w14:paraId="26EBDED8">
            <w:pPr>
              <w:pStyle w:val="69"/>
              <w:keepNext w:val="0"/>
              <w:keepLines w:val="0"/>
              <w:suppressLineNumbers w:val="0"/>
              <w:spacing w:before="0" w:beforeAutospacing="0" w:after="0" w:afterAutospacing="0" w:line="360" w:lineRule="auto"/>
              <w:ind w:left="0" w:right="0"/>
              <w:rPr>
                <w:rFonts w:hint="eastAsia" w:ascii="宋体" w:hAnsi="宋体"/>
                <w:sz w:val="21"/>
                <w:szCs w:val="21"/>
                <w:lang w:eastAsia="zh-CN"/>
              </w:rPr>
            </w:pPr>
          </w:p>
        </w:tc>
        <w:tc>
          <w:tcPr>
            <w:tcW w:w="3570" w:type="dxa"/>
            <w:vAlign w:val="top"/>
          </w:tcPr>
          <w:p w14:paraId="71C0AD54">
            <w:pPr>
              <w:keepNext w:val="0"/>
              <w:keepLines w:val="0"/>
              <w:suppressLineNumbers w:val="0"/>
              <w:spacing w:before="0" w:beforeAutospacing="0" w:after="0" w:afterAutospacing="0" w:line="360" w:lineRule="auto"/>
              <w:ind w:left="0" w:right="0"/>
              <w:rPr>
                <w:rFonts w:hint="eastAsia" w:ascii="宋体" w:hAnsi="宋体"/>
                <w:szCs w:val="21"/>
              </w:rPr>
            </w:pPr>
          </w:p>
        </w:tc>
      </w:tr>
      <w:tr w14:paraId="043B0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5670" w:type="dxa"/>
            <w:vAlign w:val="top"/>
          </w:tcPr>
          <w:p w14:paraId="7316E76F">
            <w:pPr>
              <w:pStyle w:val="69"/>
              <w:keepNext w:val="0"/>
              <w:keepLines w:val="0"/>
              <w:suppressLineNumbers w:val="0"/>
              <w:spacing w:before="0" w:beforeAutospacing="0" w:after="0" w:afterAutospacing="0" w:line="360" w:lineRule="auto"/>
              <w:ind w:left="0" w:right="0"/>
              <w:rPr>
                <w:rFonts w:hint="eastAsia" w:ascii="宋体" w:hAnsi="宋体"/>
                <w:sz w:val="21"/>
                <w:szCs w:val="21"/>
                <w:lang w:eastAsia="zh-CN"/>
              </w:rPr>
            </w:pPr>
          </w:p>
        </w:tc>
        <w:tc>
          <w:tcPr>
            <w:tcW w:w="3570" w:type="dxa"/>
            <w:vAlign w:val="top"/>
          </w:tcPr>
          <w:p w14:paraId="5A9767D3">
            <w:pPr>
              <w:keepNext w:val="0"/>
              <w:keepLines w:val="0"/>
              <w:suppressLineNumbers w:val="0"/>
              <w:spacing w:before="0" w:beforeAutospacing="0" w:after="0" w:afterAutospacing="0" w:line="360" w:lineRule="auto"/>
              <w:ind w:left="0" w:right="0"/>
              <w:rPr>
                <w:rFonts w:hint="eastAsia" w:ascii="宋体" w:hAnsi="宋体"/>
                <w:szCs w:val="21"/>
              </w:rPr>
            </w:pPr>
          </w:p>
        </w:tc>
      </w:tr>
      <w:tr w14:paraId="28A98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9240" w:type="dxa"/>
            <w:gridSpan w:val="2"/>
            <w:vAlign w:val="top"/>
          </w:tcPr>
          <w:p w14:paraId="085EB9E4">
            <w:pPr>
              <w:pStyle w:val="69"/>
              <w:keepNext w:val="0"/>
              <w:keepLines w:val="0"/>
              <w:suppressLineNumbers w:val="0"/>
              <w:spacing w:before="0" w:beforeAutospacing="0" w:after="0" w:afterAutospacing="0" w:line="360" w:lineRule="auto"/>
              <w:ind w:left="0" w:right="0"/>
              <w:jc w:val="both"/>
              <w:rPr>
                <w:rFonts w:hint="eastAsia" w:ascii="宋体" w:hAnsi="宋体"/>
                <w:b/>
                <w:sz w:val="21"/>
                <w:szCs w:val="21"/>
                <w:lang w:eastAsia="zh-CN"/>
              </w:rPr>
            </w:pPr>
          </w:p>
        </w:tc>
      </w:tr>
      <w:tr w14:paraId="33958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top"/>
          </w:tcPr>
          <w:p w14:paraId="75A25366">
            <w:pPr>
              <w:pStyle w:val="69"/>
              <w:keepNext w:val="0"/>
              <w:keepLines w:val="0"/>
              <w:suppressLineNumbers w:val="0"/>
              <w:spacing w:before="0" w:beforeAutospacing="0" w:after="0" w:afterAutospacing="0" w:line="360" w:lineRule="auto"/>
              <w:ind w:left="0" w:right="0"/>
              <w:rPr>
                <w:rFonts w:hint="eastAsia" w:ascii="宋体" w:hAnsi="宋体"/>
                <w:b/>
                <w:bCs/>
                <w:sz w:val="21"/>
                <w:szCs w:val="21"/>
                <w:lang w:eastAsia="zh-CN"/>
              </w:rPr>
            </w:pPr>
          </w:p>
        </w:tc>
        <w:tc>
          <w:tcPr>
            <w:tcW w:w="3570" w:type="dxa"/>
            <w:vAlign w:val="top"/>
          </w:tcPr>
          <w:p w14:paraId="2317CA52">
            <w:pPr>
              <w:keepNext w:val="0"/>
              <w:keepLines w:val="0"/>
              <w:suppressLineNumbers w:val="0"/>
              <w:spacing w:before="0" w:beforeAutospacing="0" w:after="0" w:afterAutospacing="0" w:line="360" w:lineRule="auto"/>
              <w:ind w:left="0" w:right="0"/>
              <w:rPr>
                <w:rFonts w:hint="eastAsia" w:ascii="宋体" w:hAnsi="宋体"/>
                <w:szCs w:val="21"/>
              </w:rPr>
            </w:pPr>
          </w:p>
        </w:tc>
      </w:tr>
      <w:tr w14:paraId="610F7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vAlign w:val="top"/>
          </w:tcPr>
          <w:p w14:paraId="54667356">
            <w:pPr>
              <w:pStyle w:val="69"/>
              <w:keepNext w:val="0"/>
              <w:keepLines w:val="0"/>
              <w:suppressLineNumbers w:val="0"/>
              <w:spacing w:before="0" w:beforeAutospacing="0" w:after="0" w:afterAutospacing="0" w:line="360" w:lineRule="auto"/>
              <w:ind w:left="0" w:right="0"/>
              <w:rPr>
                <w:rFonts w:hint="eastAsia" w:ascii="宋体" w:hAnsi="宋体"/>
                <w:sz w:val="21"/>
                <w:szCs w:val="21"/>
                <w:lang w:eastAsia="zh-CN"/>
              </w:rPr>
            </w:pPr>
          </w:p>
        </w:tc>
        <w:tc>
          <w:tcPr>
            <w:tcW w:w="3570" w:type="dxa"/>
            <w:vAlign w:val="top"/>
          </w:tcPr>
          <w:p w14:paraId="6609E572">
            <w:pPr>
              <w:keepNext w:val="0"/>
              <w:keepLines w:val="0"/>
              <w:suppressLineNumbers w:val="0"/>
              <w:spacing w:before="0" w:beforeAutospacing="0" w:after="0" w:afterAutospacing="0" w:line="360" w:lineRule="auto"/>
              <w:ind w:left="0" w:right="0"/>
              <w:rPr>
                <w:rFonts w:hint="eastAsia" w:ascii="宋体" w:hAnsi="宋体"/>
                <w:szCs w:val="21"/>
              </w:rPr>
            </w:pPr>
          </w:p>
        </w:tc>
      </w:tr>
      <w:tr w14:paraId="42212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top"/>
          </w:tcPr>
          <w:p w14:paraId="3A9CCDDD">
            <w:pPr>
              <w:pStyle w:val="69"/>
              <w:keepNext w:val="0"/>
              <w:keepLines w:val="0"/>
              <w:suppressLineNumbers w:val="0"/>
              <w:spacing w:before="0" w:beforeAutospacing="0" w:after="0" w:afterAutospacing="0" w:line="360" w:lineRule="auto"/>
              <w:ind w:left="0" w:right="0"/>
              <w:rPr>
                <w:rFonts w:hint="eastAsia" w:ascii="宋体" w:hAnsi="宋体"/>
                <w:b/>
                <w:bCs/>
                <w:sz w:val="21"/>
                <w:szCs w:val="21"/>
                <w:lang w:eastAsia="zh-CN"/>
              </w:rPr>
            </w:pPr>
          </w:p>
        </w:tc>
        <w:tc>
          <w:tcPr>
            <w:tcW w:w="3570" w:type="dxa"/>
            <w:vAlign w:val="top"/>
          </w:tcPr>
          <w:p w14:paraId="157943C9">
            <w:pPr>
              <w:keepNext w:val="0"/>
              <w:keepLines w:val="0"/>
              <w:suppressLineNumbers w:val="0"/>
              <w:spacing w:before="0" w:beforeAutospacing="0" w:after="0" w:afterAutospacing="0" w:line="360" w:lineRule="auto"/>
              <w:ind w:left="0" w:right="0"/>
              <w:rPr>
                <w:rFonts w:hint="eastAsia" w:ascii="宋体" w:hAnsi="宋体"/>
                <w:szCs w:val="21"/>
              </w:rPr>
            </w:pPr>
          </w:p>
        </w:tc>
      </w:tr>
      <w:tr w14:paraId="3D995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9240" w:type="dxa"/>
            <w:gridSpan w:val="2"/>
            <w:vAlign w:val="top"/>
          </w:tcPr>
          <w:p w14:paraId="641CD256">
            <w:pPr>
              <w:pStyle w:val="69"/>
              <w:keepNext w:val="0"/>
              <w:keepLines w:val="0"/>
              <w:suppressLineNumbers w:val="0"/>
              <w:spacing w:before="0" w:beforeAutospacing="0" w:after="0" w:afterAutospacing="0" w:line="360" w:lineRule="auto"/>
              <w:ind w:left="0" w:right="0"/>
              <w:jc w:val="both"/>
              <w:rPr>
                <w:rFonts w:hint="eastAsia" w:ascii="宋体" w:hAnsi="宋体"/>
                <w:b/>
                <w:sz w:val="21"/>
                <w:szCs w:val="21"/>
                <w:lang w:eastAsia="zh-CN"/>
              </w:rPr>
            </w:pPr>
          </w:p>
        </w:tc>
      </w:tr>
      <w:tr w14:paraId="4D3D2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5670" w:type="dxa"/>
            <w:vAlign w:val="top"/>
          </w:tcPr>
          <w:p w14:paraId="22D65F1D">
            <w:pPr>
              <w:pStyle w:val="69"/>
              <w:keepNext w:val="0"/>
              <w:keepLines w:val="0"/>
              <w:suppressLineNumbers w:val="0"/>
              <w:spacing w:before="0" w:beforeAutospacing="0" w:after="0" w:afterAutospacing="0" w:line="360" w:lineRule="auto"/>
              <w:ind w:left="0" w:right="0" w:firstLine="420" w:firstLineChars="200"/>
              <w:rPr>
                <w:rFonts w:hint="eastAsia" w:ascii="宋体" w:hAnsi="宋体"/>
                <w:sz w:val="21"/>
                <w:szCs w:val="21"/>
                <w:lang w:eastAsia="zh-CN"/>
              </w:rPr>
            </w:pPr>
          </w:p>
        </w:tc>
        <w:tc>
          <w:tcPr>
            <w:tcW w:w="3570" w:type="dxa"/>
            <w:vAlign w:val="top"/>
          </w:tcPr>
          <w:p w14:paraId="60CC8437">
            <w:pPr>
              <w:keepNext w:val="0"/>
              <w:keepLines w:val="0"/>
              <w:suppressLineNumbers w:val="0"/>
              <w:spacing w:before="0" w:beforeAutospacing="0" w:after="0" w:afterAutospacing="0" w:line="360" w:lineRule="auto"/>
              <w:ind w:left="0" w:right="0"/>
              <w:rPr>
                <w:rFonts w:hint="eastAsia" w:ascii="宋体" w:hAnsi="宋体"/>
                <w:szCs w:val="21"/>
              </w:rPr>
            </w:pPr>
          </w:p>
        </w:tc>
      </w:tr>
      <w:tr w14:paraId="01076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vAlign w:val="top"/>
          </w:tcPr>
          <w:p w14:paraId="79532EF8">
            <w:pPr>
              <w:pStyle w:val="69"/>
              <w:keepNext w:val="0"/>
              <w:keepLines w:val="0"/>
              <w:suppressLineNumbers w:val="0"/>
              <w:spacing w:before="0" w:beforeAutospacing="0" w:after="0" w:afterAutospacing="0" w:line="360" w:lineRule="auto"/>
              <w:ind w:left="0" w:right="0" w:firstLine="420" w:firstLineChars="200"/>
              <w:rPr>
                <w:rFonts w:hint="eastAsia" w:ascii="宋体" w:hAnsi="宋体"/>
                <w:sz w:val="21"/>
                <w:szCs w:val="21"/>
                <w:lang w:eastAsia="zh-CN"/>
              </w:rPr>
            </w:pPr>
          </w:p>
        </w:tc>
        <w:tc>
          <w:tcPr>
            <w:tcW w:w="3570" w:type="dxa"/>
            <w:tcBorders>
              <w:bottom w:val="single" w:color="auto" w:sz="4" w:space="0"/>
            </w:tcBorders>
            <w:vAlign w:val="top"/>
          </w:tcPr>
          <w:p w14:paraId="637BD80A">
            <w:pPr>
              <w:keepNext w:val="0"/>
              <w:keepLines w:val="0"/>
              <w:suppressLineNumbers w:val="0"/>
              <w:spacing w:before="0" w:beforeAutospacing="0" w:after="0" w:afterAutospacing="0" w:line="360" w:lineRule="auto"/>
              <w:ind w:left="0" w:right="0"/>
              <w:rPr>
                <w:rFonts w:hint="eastAsia" w:ascii="宋体" w:hAnsi="宋体"/>
                <w:szCs w:val="21"/>
              </w:rPr>
            </w:pPr>
          </w:p>
        </w:tc>
      </w:tr>
    </w:tbl>
    <w:p w14:paraId="5CC8D9EF">
      <w:pPr>
        <w:spacing w:line="360" w:lineRule="auto"/>
        <w:rPr>
          <w:rFonts w:ascii="宋体" w:hAnsi="宋体"/>
          <w:color w:val="FF0000"/>
        </w:rPr>
      </w:pPr>
    </w:p>
    <w:p w14:paraId="7A42A80D">
      <w:pPr>
        <w:spacing w:line="360" w:lineRule="auto"/>
        <w:jc w:val="center"/>
        <w:rPr>
          <w:rFonts w:hint="eastAsia" w:ascii="宋体" w:hAnsi="宋体" w:eastAsia="宋体" w:cs="宋体"/>
          <w:b/>
          <w:bCs/>
          <w:szCs w:val="21"/>
        </w:rPr>
      </w:pPr>
      <w:r>
        <w:rPr>
          <w:rFonts w:ascii="宋体" w:hAnsi="宋体"/>
          <w:b/>
          <w:color w:val="000000"/>
          <w:sz w:val="32"/>
          <w:szCs w:val="32"/>
        </w:rPr>
        <w:br w:type="page"/>
      </w:r>
      <w:r>
        <w:rPr>
          <w:rFonts w:hint="eastAsia" w:ascii="宋体" w:hAnsi="宋体" w:eastAsia="宋体" w:cs="宋体"/>
          <w:b/>
          <w:bCs/>
          <w:szCs w:val="21"/>
        </w:rPr>
        <w:t>响应文件主要目录</w:t>
      </w:r>
    </w:p>
    <w:p w14:paraId="1425C511">
      <w:pPr>
        <w:spacing w:line="360" w:lineRule="auto"/>
        <w:jc w:val="center"/>
        <w:rPr>
          <w:rFonts w:hint="eastAsia" w:ascii="宋体" w:hAnsi="宋体" w:eastAsia="宋体" w:cs="宋体"/>
          <w:b/>
          <w:bCs/>
          <w:szCs w:val="21"/>
        </w:rPr>
      </w:pPr>
    </w:p>
    <w:p w14:paraId="1946823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一、资格性和符合性检查响应对照表</w:t>
      </w:r>
    </w:p>
    <w:p w14:paraId="249D9F15">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Cs/>
          <w:szCs w:val="21"/>
        </w:rPr>
      </w:pPr>
      <w:r>
        <w:rPr>
          <w:rFonts w:hint="eastAsia" w:ascii="宋体" w:hAnsi="宋体" w:eastAsia="宋体" w:cs="宋体"/>
          <w:b/>
          <w:bCs/>
          <w:szCs w:val="21"/>
        </w:rPr>
        <w:t>二</w:t>
      </w:r>
      <w:r>
        <w:rPr>
          <w:rFonts w:hint="eastAsia" w:ascii="宋体" w:hAnsi="宋体" w:eastAsia="宋体" w:cs="宋体"/>
          <w:szCs w:val="21"/>
        </w:rPr>
        <w:t>、</w:t>
      </w:r>
      <w:r>
        <w:rPr>
          <w:rFonts w:hint="eastAsia" w:ascii="宋体" w:hAnsi="宋体" w:eastAsia="宋体" w:cs="宋体"/>
          <w:bCs/>
          <w:szCs w:val="21"/>
        </w:rPr>
        <w:t>资信证明文件</w:t>
      </w:r>
    </w:p>
    <w:p w14:paraId="5D91F2A8">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三、磋商响应函</w:t>
      </w:r>
    </w:p>
    <w:p w14:paraId="285B73EB">
      <w:pPr>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四、磋商响应报价表</w:t>
      </w:r>
    </w:p>
    <w:p w14:paraId="29D423D5">
      <w:pPr>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五、</w:t>
      </w:r>
      <w:r>
        <w:rPr>
          <w:rFonts w:hint="eastAsia" w:ascii="宋体" w:hAnsi="宋体" w:cs="宋体"/>
          <w:color w:val="000000"/>
          <w:szCs w:val="21"/>
        </w:rPr>
        <w:t>响应偏离表</w:t>
      </w:r>
    </w:p>
    <w:p w14:paraId="75B4DAFA">
      <w:pPr>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六</w:t>
      </w:r>
      <w:r>
        <w:rPr>
          <w:rFonts w:hint="eastAsia" w:ascii="宋体" w:hAnsi="宋体" w:cs="宋体"/>
          <w:b/>
          <w:bCs/>
          <w:color w:val="000000"/>
          <w:szCs w:val="21"/>
        </w:rPr>
        <w:t>、</w:t>
      </w:r>
      <w:r>
        <w:rPr>
          <w:rFonts w:hint="eastAsia" w:ascii="宋体" w:hAnsi="宋体" w:cs="宋体"/>
          <w:color w:val="000000"/>
          <w:szCs w:val="21"/>
        </w:rPr>
        <w:t>项目养护方案</w:t>
      </w:r>
    </w:p>
    <w:p w14:paraId="359F7328">
      <w:pPr>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lang w:val="en-US" w:eastAsia="zh-CN"/>
        </w:rPr>
        <w:t>七</w:t>
      </w:r>
      <w:r>
        <w:rPr>
          <w:rFonts w:hint="eastAsia" w:ascii="宋体" w:hAnsi="宋体" w:cs="宋体"/>
          <w:color w:val="000000"/>
          <w:szCs w:val="21"/>
        </w:rPr>
        <w:t>、</w:t>
      </w:r>
      <w:r>
        <w:rPr>
          <w:rFonts w:hint="eastAsia" w:ascii="宋体" w:hAnsi="宋体" w:cs="宋体"/>
          <w:color w:val="000000"/>
          <w:szCs w:val="21"/>
          <w:lang w:eastAsia="zh-CN"/>
        </w:rPr>
        <w:t>其他</w:t>
      </w:r>
    </w:p>
    <w:p w14:paraId="5BAD09AD">
      <w:pPr>
        <w:pStyle w:val="10"/>
        <w:keepLines w:val="0"/>
        <w:pageBreakBefore w:val="0"/>
        <w:widowControl w:val="0"/>
        <w:kinsoku/>
        <w:wordWrap/>
        <w:overflowPunct/>
        <w:topLinePunct w:val="0"/>
        <w:autoSpaceDE/>
        <w:autoSpaceDN/>
        <w:bidi w:val="0"/>
        <w:spacing w:line="360" w:lineRule="auto"/>
        <w:ind w:firstLine="560" w:firstLineChars="200"/>
        <w:rPr>
          <w:rFonts w:hint="eastAsia" w:ascii="宋体" w:hAnsi="宋体" w:eastAsia="宋体" w:cs="宋体"/>
        </w:rPr>
      </w:pPr>
      <w:r>
        <w:rPr>
          <w:rFonts w:hint="eastAsia" w:ascii="宋体" w:hAnsi="宋体" w:eastAsia="宋体" w:cs="宋体"/>
          <w:szCs w:val="21"/>
        </w:rPr>
        <w:t>……</w:t>
      </w:r>
    </w:p>
    <w:p w14:paraId="69BA3E7A">
      <w:pPr>
        <w:pStyle w:val="10"/>
        <w:spacing w:line="360" w:lineRule="auto"/>
        <w:rPr>
          <w:rFonts w:hint="eastAsia"/>
        </w:rPr>
      </w:pPr>
    </w:p>
    <w:p w14:paraId="56298458">
      <w:pPr>
        <w:pStyle w:val="10"/>
        <w:spacing w:line="360" w:lineRule="auto"/>
        <w:rPr>
          <w:rFonts w:hint="eastAsia"/>
        </w:rPr>
      </w:pPr>
    </w:p>
    <w:p w14:paraId="0ECC4088">
      <w:pPr>
        <w:pStyle w:val="11"/>
        <w:spacing w:before="0" w:after="0" w:line="360" w:lineRule="auto"/>
        <w:rPr>
          <w:rFonts w:hint="eastAsia" w:ascii="宋体" w:hAnsi="宋体"/>
          <w:b w:val="0"/>
          <w:color w:val="000000"/>
          <w:sz w:val="32"/>
          <w:szCs w:val="32"/>
        </w:rPr>
      </w:pPr>
    </w:p>
    <w:p w14:paraId="0D58F55A">
      <w:pPr>
        <w:spacing w:line="360" w:lineRule="auto"/>
        <w:jc w:val="center"/>
        <w:rPr>
          <w:rFonts w:hint="eastAsia" w:ascii="宋体" w:hAnsi="宋体"/>
          <w:b/>
          <w:color w:val="000000"/>
          <w:szCs w:val="21"/>
        </w:rPr>
      </w:pPr>
    </w:p>
    <w:p w14:paraId="5CFBA6B0">
      <w:pPr>
        <w:spacing w:line="360" w:lineRule="auto"/>
        <w:jc w:val="center"/>
        <w:rPr>
          <w:rFonts w:hint="eastAsia" w:ascii="宋体" w:hAnsi="宋体"/>
          <w:b/>
          <w:color w:val="000000"/>
          <w:szCs w:val="21"/>
        </w:rPr>
      </w:pPr>
    </w:p>
    <w:p w14:paraId="64091830">
      <w:pPr>
        <w:spacing w:line="360" w:lineRule="auto"/>
        <w:jc w:val="center"/>
        <w:rPr>
          <w:rFonts w:hint="eastAsia" w:ascii="宋体" w:hAnsi="宋体"/>
          <w:b/>
          <w:color w:val="000000"/>
          <w:szCs w:val="21"/>
        </w:rPr>
      </w:pPr>
    </w:p>
    <w:p w14:paraId="55E9C7D8">
      <w:pPr>
        <w:spacing w:line="360" w:lineRule="auto"/>
        <w:jc w:val="center"/>
        <w:rPr>
          <w:rFonts w:hint="eastAsia" w:ascii="宋体" w:hAnsi="宋体"/>
          <w:b/>
          <w:color w:val="000000"/>
          <w:szCs w:val="21"/>
        </w:rPr>
      </w:pPr>
    </w:p>
    <w:p w14:paraId="16211ABF">
      <w:pPr>
        <w:spacing w:line="360" w:lineRule="auto"/>
        <w:jc w:val="center"/>
        <w:rPr>
          <w:rFonts w:hint="eastAsia" w:ascii="宋体" w:hAnsi="宋体"/>
          <w:b/>
          <w:color w:val="000000"/>
          <w:szCs w:val="21"/>
        </w:rPr>
      </w:pPr>
    </w:p>
    <w:p w14:paraId="3F331EBC">
      <w:pPr>
        <w:spacing w:line="360" w:lineRule="auto"/>
        <w:jc w:val="center"/>
        <w:rPr>
          <w:rFonts w:hint="eastAsia" w:ascii="宋体" w:hAnsi="宋体"/>
          <w:b/>
          <w:color w:val="000000"/>
          <w:szCs w:val="21"/>
        </w:rPr>
      </w:pPr>
    </w:p>
    <w:p w14:paraId="50A97796">
      <w:pPr>
        <w:spacing w:line="360" w:lineRule="auto"/>
        <w:jc w:val="center"/>
        <w:rPr>
          <w:rFonts w:hint="eastAsia" w:ascii="宋体" w:hAnsi="宋体"/>
          <w:b/>
          <w:color w:val="000000"/>
          <w:szCs w:val="21"/>
        </w:rPr>
      </w:pPr>
    </w:p>
    <w:p w14:paraId="2B1B722A">
      <w:pPr>
        <w:spacing w:line="360" w:lineRule="auto"/>
        <w:jc w:val="center"/>
        <w:rPr>
          <w:rFonts w:hint="eastAsia" w:ascii="宋体" w:hAnsi="宋体"/>
          <w:b/>
          <w:color w:val="000000"/>
          <w:szCs w:val="21"/>
        </w:rPr>
      </w:pPr>
    </w:p>
    <w:p w14:paraId="37A5956B">
      <w:pPr>
        <w:spacing w:line="360" w:lineRule="auto"/>
        <w:jc w:val="center"/>
        <w:rPr>
          <w:rFonts w:hint="eastAsia" w:ascii="宋体" w:hAnsi="宋体"/>
          <w:b/>
          <w:color w:val="000000"/>
          <w:szCs w:val="21"/>
        </w:rPr>
      </w:pPr>
    </w:p>
    <w:p w14:paraId="174F70D6">
      <w:pPr>
        <w:spacing w:line="360" w:lineRule="auto"/>
        <w:jc w:val="center"/>
        <w:rPr>
          <w:rFonts w:hint="eastAsia" w:ascii="宋体" w:hAnsi="宋体"/>
          <w:b/>
          <w:color w:val="000000"/>
          <w:szCs w:val="21"/>
        </w:rPr>
      </w:pPr>
    </w:p>
    <w:p w14:paraId="453D097E">
      <w:pPr>
        <w:spacing w:line="360" w:lineRule="auto"/>
        <w:jc w:val="center"/>
        <w:rPr>
          <w:rFonts w:hint="eastAsia" w:ascii="宋体" w:hAnsi="宋体"/>
          <w:b/>
          <w:color w:val="000000"/>
          <w:szCs w:val="21"/>
        </w:rPr>
      </w:pPr>
    </w:p>
    <w:p w14:paraId="6E70ABC5">
      <w:pPr>
        <w:spacing w:line="360" w:lineRule="auto"/>
        <w:jc w:val="center"/>
        <w:rPr>
          <w:rFonts w:hint="eastAsia" w:ascii="宋体" w:hAnsi="宋体"/>
          <w:b/>
          <w:color w:val="000000"/>
          <w:szCs w:val="21"/>
        </w:rPr>
      </w:pPr>
    </w:p>
    <w:p w14:paraId="3D44F56B">
      <w:pPr>
        <w:spacing w:line="360" w:lineRule="auto"/>
        <w:jc w:val="center"/>
        <w:rPr>
          <w:rFonts w:hint="eastAsia" w:ascii="宋体" w:hAnsi="宋体"/>
          <w:b/>
          <w:color w:val="000000"/>
          <w:szCs w:val="21"/>
        </w:rPr>
      </w:pPr>
    </w:p>
    <w:p w14:paraId="24ED2D78">
      <w:pPr>
        <w:spacing w:line="360" w:lineRule="auto"/>
        <w:jc w:val="center"/>
        <w:rPr>
          <w:rFonts w:hint="eastAsia" w:ascii="宋体" w:hAnsi="宋体"/>
          <w:b/>
          <w:color w:val="000000"/>
          <w:szCs w:val="21"/>
        </w:rPr>
      </w:pPr>
    </w:p>
    <w:p w14:paraId="46E2FAC5">
      <w:pPr>
        <w:spacing w:line="360" w:lineRule="auto"/>
        <w:jc w:val="center"/>
        <w:rPr>
          <w:rFonts w:hint="eastAsia" w:ascii="宋体" w:hAnsi="宋体"/>
          <w:b/>
          <w:color w:val="000000"/>
          <w:szCs w:val="21"/>
        </w:rPr>
      </w:pPr>
    </w:p>
    <w:p w14:paraId="42EF3728">
      <w:pPr>
        <w:spacing w:line="360" w:lineRule="auto"/>
        <w:jc w:val="center"/>
        <w:rPr>
          <w:rFonts w:hint="eastAsia" w:ascii="宋体" w:hAnsi="宋体"/>
          <w:b/>
          <w:color w:val="000000"/>
          <w:szCs w:val="21"/>
        </w:rPr>
      </w:pPr>
    </w:p>
    <w:p w14:paraId="4DEBA4EF">
      <w:pPr>
        <w:spacing w:line="360" w:lineRule="auto"/>
        <w:jc w:val="center"/>
        <w:rPr>
          <w:rFonts w:hint="eastAsia" w:ascii="宋体" w:hAnsi="宋体"/>
          <w:b/>
          <w:color w:val="000000"/>
          <w:szCs w:val="21"/>
        </w:rPr>
      </w:pPr>
    </w:p>
    <w:p w14:paraId="543C8D7A">
      <w:pPr>
        <w:pStyle w:val="67"/>
        <w:spacing w:line="360" w:lineRule="auto"/>
        <w:ind w:firstLine="402"/>
        <w:rPr>
          <w:rFonts w:hint="eastAsia" w:hAnsi="宋体"/>
          <w:b/>
          <w:color w:val="000000"/>
          <w:szCs w:val="21"/>
        </w:rPr>
      </w:pPr>
    </w:p>
    <w:p w14:paraId="26A58656">
      <w:pPr>
        <w:spacing w:line="360" w:lineRule="auto"/>
        <w:rPr>
          <w:rFonts w:hint="eastAsia" w:ascii="宋体" w:hAnsi="宋体"/>
          <w:b/>
          <w:color w:val="000000"/>
          <w:szCs w:val="21"/>
        </w:rPr>
      </w:pPr>
    </w:p>
    <w:p w14:paraId="33232D2F">
      <w:pPr>
        <w:pStyle w:val="67"/>
        <w:spacing w:line="360" w:lineRule="auto"/>
        <w:ind w:firstLine="400"/>
        <w:rPr>
          <w:rFonts w:hint="eastAsia"/>
        </w:rPr>
      </w:pPr>
    </w:p>
    <w:p w14:paraId="1D135438">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一、资格性和符合性检查响应对照表</w:t>
      </w:r>
    </w:p>
    <w:p w14:paraId="3E8CBDD4">
      <w:pPr>
        <w:spacing w:line="360" w:lineRule="auto"/>
        <w:ind w:firstLine="309"/>
        <w:rPr>
          <w:rFonts w:hint="eastAsia" w:ascii="宋体" w:hAnsi="宋体" w:eastAsia="宋体" w:cs="宋体"/>
          <w:color w:val="000000"/>
          <w:szCs w:val="21"/>
        </w:rPr>
      </w:pPr>
      <w:r>
        <w:rPr>
          <w:rFonts w:hint="eastAsia" w:ascii="宋体" w:hAnsi="宋体" w:eastAsia="宋体" w:cs="宋体"/>
          <w:color w:val="000000"/>
          <w:szCs w:val="21"/>
        </w:rPr>
        <w:t>磋商供应商全称（加盖公章）：</w:t>
      </w:r>
    </w:p>
    <w:tbl>
      <w:tblPr>
        <w:tblStyle w:val="4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1680"/>
        <w:gridCol w:w="1785"/>
      </w:tblGrid>
      <w:tr w14:paraId="3AD41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336C02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5447" w:type="dxa"/>
            <w:vAlign w:val="center"/>
          </w:tcPr>
          <w:p w14:paraId="25C963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资格和符合性检查响应内容</w:t>
            </w:r>
          </w:p>
        </w:tc>
        <w:tc>
          <w:tcPr>
            <w:tcW w:w="1680" w:type="dxa"/>
            <w:vAlign w:val="center"/>
          </w:tcPr>
          <w:p w14:paraId="10FF47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是否响应</w:t>
            </w:r>
          </w:p>
          <w:p w14:paraId="4CD901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（填是或者否）</w:t>
            </w:r>
          </w:p>
        </w:tc>
        <w:tc>
          <w:tcPr>
            <w:tcW w:w="1785" w:type="dxa"/>
            <w:vAlign w:val="center"/>
          </w:tcPr>
          <w:p w14:paraId="14EFD7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响应文件中的页码位置</w:t>
            </w:r>
          </w:p>
        </w:tc>
      </w:tr>
      <w:tr w14:paraId="37DE6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29AC8802">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000000"/>
                <w:szCs w:val="21"/>
                <w:u w:val="single"/>
              </w:rPr>
            </w:pPr>
            <w:r>
              <w:rPr>
                <w:rFonts w:hint="eastAsia" w:ascii="宋体" w:hAnsi="宋体" w:eastAsia="宋体" w:cs="宋体"/>
                <w:i/>
                <w:color w:val="000000"/>
                <w:szCs w:val="21"/>
                <w:u w:val="single"/>
              </w:rPr>
              <w:t>1</w:t>
            </w:r>
          </w:p>
        </w:tc>
        <w:tc>
          <w:tcPr>
            <w:tcW w:w="5447" w:type="dxa"/>
            <w:vAlign w:val="center"/>
          </w:tcPr>
          <w:p w14:paraId="3AF552EC">
            <w:pPr>
              <w:keepNext w:val="0"/>
              <w:keepLines w:val="0"/>
              <w:suppressLineNumbers w:val="0"/>
              <w:spacing w:before="0" w:beforeAutospacing="0" w:after="0" w:afterAutospacing="0" w:line="360" w:lineRule="auto"/>
              <w:ind w:left="0" w:right="0"/>
              <w:rPr>
                <w:rFonts w:hint="eastAsia" w:ascii="宋体" w:hAnsi="宋体" w:eastAsia="宋体" w:cs="宋体"/>
                <w:i/>
                <w:iCs/>
                <w:color w:val="000000"/>
                <w:szCs w:val="21"/>
                <w:u w:val="single"/>
              </w:rPr>
            </w:pPr>
          </w:p>
        </w:tc>
        <w:tc>
          <w:tcPr>
            <w:tcW w:w="1680" w:type="dxa"/>
            <w:vAlign w:val="center"/>
          </w:tcPr>
          <w:p w14:paraId="09B868B3">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c>
          <w:tcPr>
            <w:tcW w:w="1785" w:type="dxa"/>
            <w:vAlign w:val="center"/>
          </w:tcPr>
          <w:p w14:paraId="565A88ED">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r>
      <w:tr w14:paraId="56E88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529DD26D">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000000"/>
                <w:szCs w:val="21"/>
                <w:u w:val="single"/>
              </w:rPr>
            </w:pPr>
            <w:r>
              <w:rPr>
                <w:rFonts w:hint="eastAsia" w:ascii="宋体" w:hAnsi="宋体" w:eastAsia="宋体" w:cs="宋体"/>
                <w:i/>
                <w:color w:val="000000"/>
                <w:szCs w:val="21"/>
                <w:u w:val="single"/>
              </w:rPr>
              <w:t>2</w:t>
            </w:r>
          </w:p>
        </w:tc>
        <w:tc>
          <w:tcPr>
            <w:tcW w:w="5447" w:type="dxa"/>
            <w:vAlign w:val="center"/>
          </w:tcPr>
          <w:p w14:paraId="65383DD9">
            <w:pPr>
              <w:keepNext w:val="0"/>
              <w:keepLines w:val="0"/>
              <w:suppressLineNumbers w:val="0"/>
              <w:spacing w:before="0" w:beforeAutospacing="0" w:after="0" w:afterAutospacing="0" w:line="360" w:lineRule="auto"/>
              <w:ind w:left="0" w:right="0"/>
              <w:rPr>
                <w:rFonts w:hint="eastAsia" w:ascii="宋体" w:hAnsi="宋体" w:eastAsia="宋体" w:cs="宋体"/>
                <w:i/>
                <w:iCs/>
                <w:color w:val="000000"/>
                <w:szCs w:val="21"/>
                <w:u w:val="single"/>
              </w:rPr>
            </w:pPr>
          </w:p>
        </w:tc>
        <w:tc>
          <w:tcPr>
            <w:tcW w:w="1680" w:type="dxa"/>
            <w:vAlign w:val="center"/>
          </w:tcPr>
          <w:p w14:paraId="038F76A0">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c>
          <w:tcPr>
            <w:tcW w:w="1785" w:type="dxa"/>
            <w:vAlign w:val="center"/>
          </w:tcPr>
          <w:p w14:paraId="25E6A956">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r>
      <w:tr w14:paraId="52D85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5EAE9710">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000000"/>
                <w:szCs w:val="21"/>
                <w:u w:val="single"/>
              </w:rPr>
            </w:pPr>
            <w:r>
              <w:rPr>
                <w:rFonts w:hint="eastAsia" w:ascii="宋体" w:hAnsi="宋体" w:eastAsia="宋体" w:cs="宋体"/>
                <w:i/>
                <w:color w:val="000000"/>
                <w:szCs w:val="21"/>
                <w:u w:val="single"/>
              </w:rPr>
              <w:t>3</w:t>
            </w:r>
          </w:p>
        </w:tc>
        <w:tc>
          <w:tcPr>
            <w:tcW w:w="5447" w:type="dxa"/>
            <w:vAlign w:val="center"/>
          </w:tcPr>
          <w:p w14:paraId="096DD39C">
            <w:pPr>
              <w:keepNext w:val="0"/>
              <w:keepLines w:val="0"/>
              <w:suppressLineNumbers w:val="0"/>
              <w:spacing w:before="0" w:beforeAutospacing="0" w:after="0" w:afterAutospacing="0" w:line="360" w:lineRule="auto"/>
              <w:ind w:left="0" w:right="0"/>
              <w:rPr>
                <w:rFonts w:hint="eastAsia" w:ascii="宋体" w:hAnsi="宋体" w:eastAsia="宋体" w:cs="宋体"/>
                <w:i/>
                <w:iCs/>
                <w:color w:val="000000"/>
                <w:szCs w:val="21"/>
                <w:u w:val="single"/>
              </w:rPr>
            </w:pPr>
          </w:p>
        </w:tc>
        <w:tc>
          <w:tcPr>
            <w:tcW w:w="1680" w:type="dxa"/>
            <w:vAlign w:val="center"/>
          </w:tcPr>
          <w:p w14:paraId="0C102BF7">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c>
          <w:tcPr>
            <w:tcW w:w="1785" w:type="dxa"/>
            <w:vAlign w:val="center"/>
          </w:tcPr>
          <w:p w14:paraId="574FBFFE">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r>
      <w:tr w14:paraId="74B5F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3A6A2F0C">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000000"/>
                <w:szCs w:val="21"/>
                <w:u w:val="single"/>
              </w:rPr>
            </w:pPr>
            <w:r>
              <w:rPr>
                <w:rFonts w:hint="eastAsia" w:ascii="宋体" w:hAnsi="宋体" w:eastAsia="宋体" w:cs="宋体"/>
                <w:i/>
                <w:color w:val="000000"/>
                <w:szCs w:val="21"/>
                <w:u w:val="single"/>
              </w:rPr>
              <w:t>4</w:t>
            </w:r>
          </w:p>
        </w:tc>
        <w:tc>
          <w:tcPr>
            <w:tcW w:w="5447" w:type="dxa"/>
            <w:vAlign w:val="center"/>
          </w:tcPr>
          <w:p w14:paraId="14917F2A">
            <w:pPr>
              <w:keepNext w:val="0"/>
              <w:keepLines w:val="0"/>
              <w:suppressLineNumbers w:val="0"/>
              <w:spacing w:before="0" w:beforeAutospacing="0" w:after="0" w:afterAutospacing="0" w:line="360" w:lineRule="auto"/>
              <w:ind w:left="0" w:right="0"/>
              <w:rPr>
                <w:rFonts w:hint="eastAsia" w:ascii="宋体" w:hAnsi="宋体" w:eastAsia="宋体" w:cs="宋体"/>
                <w:i/>
                <w:iCs/>
                <w:color w:val="000000"/>
                <w:szCs w:val="21"/>
                <w:u w:val="single"/>
              </w:rPr>
            </w:pPr>
          </w:p>
        </w:tc>
        <w:tc>
          <w:tcPr>
            <w:tcW w:w="1680" w:type="dxa"/>
            <w:vAlign w:val="center"/>
          </w:tcPr>
          <w:p w14:paraId="312EF0FF">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c>
          <w:tcPr>
            <w:tcW w:w="1785" w:type="dxa"/>
            <w:vAlign w:val="center"/>
          </w:tcPr>
          <w:p w14:paraId="3270E6B0">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r>
      <w:tr w14:paraId="090B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47F72DD8">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000000"/>
                <w:szCs w:val="21"/>
                <w:u w:val="single"/>
              </w:rPr>
            </w:pPr>
            <w:r>
              <w:rPr>
                <w:rFonts w:hint="eastAsia" w:ascii="宋体" w:hAnsi="宋体" w:eastAsia="宋体" w:cs="宋体"/>
                <w:i/>
                <w:color w:val="000000"/>
                <w:szCs w:val="21"/>
                <w:u w:val="single"/>
              </w:rPr>
              <w:t>5</w:t>
            </w:r>
          </w:p>
        </w:tc>
        <w:tc>
          <w:tcPr>
            <w:tcW w:w="5447" w:type="dxa"/>
            <w:vAlign w:val="center"/>
          </w:tcPr>
          <w:p w14:paraId="687B1C00">
            <w:pPr>
              <w:keepNext w:val="0"/>
              <w:keepLines w:val="0"/>
              <w:suppressLineNumbers w:val="0"/>
              <w:spacing w:before="0" w:beforeAutospacing="0" w:after="0" w:afterAutospacing="0" w:line="360" w:lineRule="auto"/>
              <w:ind w:left="0" w:right="0"/>
              <w:rPr>
                <w:rFonts w:hint="eastAsia" w:ascii="宋体" w:hAnsi="宋体" w:eastAsia="宋体" w:cs="宋体"/>
                <w:i/>
                <w:iCs/>
                <w:color w:val="000000"/>
                <w:szCs w:val="21"/>
                <w:u w:val="single"/>
              </w:rPr>
            </w:pPr>
          </w:p>
        </w:tc>
        <w:tc>
          <w:tcPr>
            <w:tcW w:w="1680" w:type="dxa"/>
            <w:vAlign w:val="center"/>
          </w:tcPr>
          <w:p w14:paraId="59CADA7D">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c>
          <w:tcPr>
            <w:tcW w:w="1785" w:type="dxa"/>
            <w:vAlign w:val="center"/>
          </w:tcPr>
          <w:p w14:paraId="3630D219">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r>
      <w:tr w14:paraId="42D62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646" w:type="dxa"/>
            <w:vAlign w:val="center"/>
          </w:tcPr>
          <w:p w14:paraId="1DC1828D">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000000"/>
                <w:szCs w:val="21"/>
                <w:u w:val="single"/>
              </w:rPr>
            </w:pPr>
            <w:r>
              <w:rPr>
                <w:rFonts w:hint="eastAsia" w:ascii="宋体" w:hAnsi="宋体" w:eastAsia="宋体" w:cs="宋体"/>
                <w:i/>
                <w:color w:val="000000"/>
                <w:szCs w:val="21"/>
                <w:u w:val="single"/>
              </w:rPr>
              <w:t>6</w:t>
            </w:r>
          </w:p>
        </w:tc>
        <w:tc>
          <w:tcPr>
            <w:tcW w:w="5447" w:type="dxa"/>
            <w:vAlign w:val="center"/>
          </w:tcPr>
          <w:p w14:paraId="21ACEF52">
            <w:pPr>
              <w:keepNext w:val="0"/>
              <w:keepLines w:val="0"/>
              <w:suppressLineNumbers w:val="0"/>
              <w:spacing w:before="0" w:beforeAutospacing="0" w:after="0" w:afterAutospacing="0" w:line="360" w:lineRule="auto"/>
              <w:ind w:left="0" w:right="0"/>
              <w:rPr>
                <w:rFonts w:hint="eastAsia" w:ascii="宋体" w:hAnsi="宋体" w:eastAsia="宋体" w:cs="宋体"/>
                <w:i/>
                <w:iCs/>
                <w:color w:val="000000"/>
                <w:szCs w:val="21"/>
                <w:u w:val="single"/>
              </w:rPr>
            </w:pPr>
          </w:p>
        </w:tc>
        <w:tc>
          <w:tcPr>
            <w:tcW w:w="1680" w:type="dxa"/>
            <w:vAlign w:val="center"/>
          </w:tcPr>
          <w:p w14:paraId="07FC31EA">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c>
          <w:tcPr>
            <w:tcW w:w="1785" w:type="dxa"/>
            <w:vAlign w:val="center"/>
          </w:tcPr>
          <w:p w14:paraId="76FE6555">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r>
      <w:tr w14:paraId="7D587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9" w:hRule="atLeast"/>
        </w:trPr>
        <w:tc>
          <w:tcPr>
            <w:tcW w:w="646" w:type="dxa"/>
            <w:vAlign w:val="center"/>
          </w:tcPr>
          <w:p w14:paraId="5154602C">
            <w:pPr>
              <w:keepNext w:val="0"/>
              <w:keepLines w:val="0"/>
              <w:suppressLineNumbers w:val="0"/>
              <w:spacing w:before="0" w:beforeAutospacing="0" w:after="0" w:afterAutospacing="0" w:line="360" w:lineRule="auto"/>
              <w:ind w:left="0" w:right="0"/>
              <w:jc w:val="center"/>
              <w:rPr>
                <w:rFonts w:hint="eastAsia" w:ascii="宋体" w:hAnsi="宋体" w:eastAsia="宋体" w:cs="宋体"/>
                <w:i/>
                <w:color w:val="000000"/>
                <w:szCs w:val="21"/>
                <w:u w:val="single"/>
              </w:rPr>
            </w:pPr>
            <w:r>
              <w:rPr>
                <w:rFonts w:hint="eastAsia" w:ascii="宋体" w:hAnsi="宋体" w:eastAsia="宋体" w:cs="宋体"/>
                <w:i/>
                <w:color w:val="000000"/>
                <w:szCs w:val="21"/>
                <w:u w:val="single"/>
              </w:rPr>
              <w:t>7</w:t>
            </w:r>
          </w:p>
        </w:tc>
        <w:tc>
          <w:tcPr>
            <w:tcW w:w="5447" w:type="dxa"/>
            <w:vAlign w:val="center"/>
          </w:tcPr>
          <w:p w14:paraId="64CC4BEB">
            <w:pPr>
              <w:keepNext w:val="0"/>
              <w:keepLines w:val="0"/>
              <w:suppressLineNumbers w:val="0"/>
              <w:spacing w:before="0" w:beforeAutospacing="0" w:after="0" w:afterAutospacing="0" w:line="360" w:lineRule="auto"/>
              <w:ind w:left="0" w:right="0"/>
              <w:rPr>
                <w:rFonts w:hint="eastAsia" w:ascii="宋体" w:hAnsi="宋体" w:eastAsia="宋体" w:cs="宋体"/>
                <w:i/>
                <w:iCs/>
                <w:color w:val="000000"/>
                <w:szCs w:val="21"/>
                <w:u w:val="single"/>
              </w:rPr>
            </w:pPr>
            <w:r>
              <w:rPr>
                <w:rFonts w:hint="eastAsia" w:ascii="宋体" w:hAnsi="宋体" w:eastAsia="宋体" w:cs="宋体"/>
                <w:i/>
                <w:iCs/>
                <w:color w:val="000000"/>
                <w:szCs w:val="21"/>
                <w:u w:val="single"/>
              </w:rPr>
              <w:t>磋商文件中的其他实质性要求</w:t>
            </w:r>
          </w:p>
        </w:tc>
        <w:tc>
          <w:tcPr>
            <w:tcW w:w="1680" w:type="dxa"/>
            <w:vAlign w:val="center"/>
          </w:tcPr>
          <w:p w14:paraId="47CE954F">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c>
          <w:tcPr>
            <w:tcW w:w="1785" w:type="dxa"/>
            <w:vAlign w:val="center"/>
          </w:tcPr>
          <w:p w14:paraId="0A72A8AD">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rPr>
            </w:pPr>
          </w:p>
        </w:tc>
      </w:tr>
    </w:tbl>
    <w:p w14:paraId="1A169B25">
      <w:pPr>
        <w:spacing w:line="360" w:lineRule="auto"/>
        <w:ind w:firstLine="420" w:firstLineChars="200"/>
        <w:rPr>
          <w:rFonts w:hint="eastAsia" w:ascii="宋体" w:hAnsi="宋体"/>
          <w:szCs w:val="21"/>
        </w:rPr>
      </w:pPr>
    </w:p>
    <w:p w14:paraId="2043F80D">
      <w:pPr>
        <w:spacing w:line="360" w:lineRule="auto"/>
        <w:rPr>
          <w:rFonts w:hint="eastAsia" w:ascii="宋体" w:hAnsi="宋体"/>
          <w:szCs w:val="21"/>
        </w:rPr>
      </w:pPr>
      <w:r>
        <w:rPr>
          <w:rFonts w:hint="eastAsia" w:ascii="宋体" w:hAnsi="宋体"/>
          <w:szCs w:val="21"/>
        </w:rPr>
        <w:t xml:space="preserve"> </w:t>
      </w:r>
    </w:p>
    <w:p w14:paraId="713A9D4D">
      <w:pPr>
        <w:spacing w:line="360" w:lineRule="auto"/>
        <w:rPr>
          <w:rFonts w:hint="eastAsia" w:ascii="宋体" w:hAnsi="宋体"/>
          <w:szCs w:val="21"/>
        </w:rPr>
      </w:pPr>
    </w:p>
    <w:p w14:paraId="49327A4F">
      <w:pPr>
        <w:spacing w:line="360" w:lineRule="auto"/>
        <w:jc w:val="center"/>
        <w:rPr>
          <w:rFonts w:hint="eastAsia" w:ascii="宋体" w:hAnsi="宋体"/>
          <w:b/>
          <w:color w:val="000000"/>
          <w:szCs w:val="21"/>
        </w:rPr>
      </w:pPr>
    </w:p>
    <w:p w14:paraId="5B3EAF8E">
      <w:pPr>
        <w:spacing w:line="360" w:lineRule="auto"/>
        <w:jc w:val="center"/>
        <w:rPr>
          <w:rFonts w:hint="eastAsia" w:ascii="宋体" w:hAnsi="宋体"/>
          <w:b/>
          <w:color w:val="000000"/>
          <w:szCs w:val="21"/>
        </w:rPr>
      </w:pPr>
    </w:p>
    <w:p w14:paraId="50CDFA93">
      <w:pPr>
        <w:spacing w:line="360" w:lineRule="auto"/>
        <w:jc w:val="center"/>
        <w:rPr>
          <w:rFonts w:hint="eastAsia" w:ascii="宋体" w:hAnsi="宋体"/>
          <w:b/>
          <w:color w:val="000000"/>
          <w:szCs w:val="21"/>
        </w:rPr>
      </w:pPr>
    </w:p>
    <w:p w14:paraId="1D55C675">
      <w:pPr>
        <w:spacing w:line="360" w:lineRule="auto"/>
        <w:jc w:val="center"/>
        <w:rPr>
          <w:rFonts w:hint="eastAsia" w:ascii="宋体" w:hAnsi="宋体"/>
          <w:b/>
          <w:color w:val="000000"/>
          <w:szCs w:val="21"/>
        </w:rPr>
      </w:pPr>
    </w:p>
    <w:p w14:paraId="03776CFD">
      <w:pPr>
        <w:spacing w:line="360" w:lineRule="auto"/>
        <w:jc w:val="center"/>
        <w:rPr>
          <w:rFonts w:hint="eastAsia" w:ascii="宋体" w:hAnsi="宋体"/>
          <w:b/>
          <w:color w:val="000000"/>
          <w:szCs w:val="21"/>
        </w:rPr>
      </w:pPr>
    </w:p>
    <w:p w14:paraId="05AEAF50">
      <w:pPr>
        <w:spacing w:line="360" w:lineRule="auto"/>
        <w:jc w:val="center"/>
        <w:rPr>
          <w:rFonts w:hint="eastAsia" w:ascii="宋体" w:hAnsi="宋体"/>
          <w:b/>
          <w:color w:val="000000"/>
          <w:szCs w:val="21"/>
        </w:rPr>
      </w:pPr>
    </w:p>
    <w:p w14:paraId="01097725">
      <w:pPr>
        <w:spacing w:line="360" w:lineRule="auto"/>
        <w:rPr>
          <w:rFonts w:hint="eastAsia"/>
        </w:rPr>
      </w:pPr>
    </w:p>
    <w:p w14:paraId="4588FE55">
      <w:pPr>
        <w:spacing w:line="360" w:lineRule="auto"/>
        <w:jc w:val="center"/>
        <w:rPr>
          <w:rFonts w:hint="eastAsia" w:ascii="宋体" w:hAnsi="宋体" w:eastAsia="宋体" w:cs="宋体"/>
          <w:b/>
          <w:color w:val="000000"/>
          <w:szCs w:val="21"/>
        </w:rPr>
      </w:pPr>
      <w:r>
        <w:rPr>
          <w:rFonts w:hint="eastAsia" w:ascii="宋体" w:hAnsi="宋体"/>
          <w:b/>
          <w:color w:val="000000"/>
          <w:szCs w:val="21"/>
        </w:rPr>
        <w:br w:type="page"/>
      </w:r>
      <w:r>
        <w:rPr>
          <w:rFonts w:hint="eastAsia" w:ascii="宋体" w:hAnsi="宋体" w:eastAsia="宋体" w:cs="宋体"/>
          <w:b/>
          <w:color w:val="000000"/>
          <w:szCs w:val="21"/>
        </w:rPr>
        <w:t>二、资信证明文件</w:t>
      </w:r>
    </w:p>
    <w:p w14:paraId="725724E0">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b/>
          <w:bCs/>
          <w:szCs w:val="21"/>
        </w:rPr>
      </w:pPr>
      <w:r>
        <w:rPr>
          <w:rFonts w:hint="eastAsia" w:ascii="宋体" w:hAnsi="宋体" w:eastAsia="宋体" w:cs="宋体"/>
          <w:szCs w:val="21"/>
        </w:rPr>
        <w:t xml:space="preserve">   </w:t>
      </w:r>
      <w:r>
        <w:rPr>
          <w:rFonts w:hint="eastAsia" w:ascii="宋体" w:hAnsi="宋体" w:eastAsia="宋体" w:cs="宋体"/>
          <w:b/>
          <w:bCs/>
          <w:szCs w:val="21"/>
        </w:rPr>
        <w:t>1、实质性资格证明文件目录</w:t>
      </w:r>
    </w:p>
    <w:p w14:paraId="3DC702E2">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i/>
          <w:kern w:val="0"/>
          <w:szCs w:val="21"/>
          <w:u w:val="single"/>
        </w:rPr>
      </w:pPr>
      <w:r>
        <w:rPr>
          <w:rFonts w:hint="eastAsia" w:ascii="宋体" w:hAnsi="宋体" w:eastAsia="宋体" w:cs="宋体"/>
          <w:i/>
          <w:kern w:val="0"/>
          <w:szCs w:val="21"/>
          <w:u w:val="single"/>
        </w:rPr>
        <w:t>（1）磋商响应函</w:t>
      </w:r>
      <w:r>
        <w:rPr>
          <w:rFonts w:hint="eastAsia" w:ascii="宋体" w:hAnsi="宋体" w:eastAsia="宋体" w:cs="宋体"/>
          <w:b/>
          <w:i/>
          <w:kern w:val="0"/>
          <w:szCs w:val="21"/>
          <w:u w:val="single"/>
        </w:rPr>
        <w:t>(原件)</w:t>
      </w:r>
    </w:p>
    <w:p w14:paraId="0689BC66">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i/>
          <w:kern w:val="0"/>
          <w:szCs w:val="21"/>
          <w:u w:val="single"/>
        </w:rPr>
      </w:pPr>
      <w:r>
        <w:rPr>
          <w:rFonts w:hint="eastAsia" w:ascii="宋体" w:hAnsi="宋体" w:eastAsia="宋体" w:cs="宋体"/>
          <w:i/>
          <w:kern w:val="0"/>
          <w:szCs w:val="21"/>
          <w:u w:val="single"/>
        </w:rPr>
        <w:t>（2）资格声明</w:t>
      </w:r>
      <w:r>
        <w:rPr>
          <w:rFonts w:hint="eastAsia" w:ascii="宋体" w:hAnsi="宋体" w:eastAsia="宋体" w:cs="宋体"/>
          <w:b/>
          <w:i/>
          <w:kern w:val="0"/>
          <w:szCs w:val="21"/>
          <w:u w:val="single"/>
        </w:rPr>
        <w:t>(原件)</w:t>
      </w:r>
    </w:p>
    <w:p w14:paraId="00A303EA">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i/>
          <w:kern w:val="0"/>
          <w:szCs w:val="21"/>
          <w:u w:val="single"/>
        </w:rPr>
      </w:pPr>
      <w:r>
        <w:rPr>
          <w:rFonts w:hint="eastAsia" w:ascii="宋体" w:hAnsi="宋体" w:eastAsia="宋体" w:cs="宋体"/>
          <w:i/>
          <w:kern w:val="0"/>
          <w:szCs w:val="21"/>
          <w:u w:val="single"/>
        </w:rPr>
        <w:t>（3）若法定代表人参加磋商的，须提供本人身份证</w:t>
      </w:r>
      <w:r>
        <w:rPr>
          <w:rFonts w:hint="eastAsia" w:ascii="宋体" w:hAnsi="宋体" w:eastAsia="宋体" w:cs="宋体"/>
          <w:b/>
          <w:i/>
          <w:kern w:val="0"/>
          <w:szCs w:val="21"/>
          <w:u w:val="single"/>
        </w:rPr>
        <w:t>复印件加盖供应商公章(原件备查)</w:t>
      </w:r>
      <w:r>
        <w:rPr>
          <w:rFonts w:hint="eastAsia" w:ascii="宋体" w:hAnsi="宋体" w:eastAsia="宋体" w:cs="宋体"/>
          <w:i/>
          <w:kern w:val="0"/>
          <w:szCs w:val="21"/>
          <w:u w:val="single"/>
        </w:rPr>
        <w:t>；若授权代表参加的，须提供《法人授权书》</w:t>
      </w:r>
      <w:r>
        <w:rPr>
          <w:rFonts w:hint="eastAsia" w:ascii="宋体" w:hAnsi="宋体" w:eastAsia="宋体" w:cs="宋体"/>
          <w:b/>
          <w:i/>
          <w:kern w:val="0"/>
          <w:szCs w:val="21"/>
          <w:u w:val="single"/>
        </w:rPr>
        <w:t>原件</w:t>
      </w:r>
      <w:r>
        <w:rPr>
          <w:rFonts w:hint="eastAsia" w:ascii="宋体" w:hAnsi="宋体" w:eastAsia="宋体" w:cs="宋体"/>
          <w:bCs/>
          <w:i/>
          <w:kern w:val="0"/>
          <w:szCs w:val="21"/>
          <w:u w:val="single"/>
        </w:rPr>
        <w:t>和</w:t>
      </w:r>
      <w:r>
        <w:rPr>
          <w:rFonts w:hint="eastAsia" w:ascii="宋体" w:hAnsi="宋体" w:eastAsia="宋体" w:cs="宋体"/>
          <w:i/>
          <w:kern w:val="0"/>
          <w:szCs w:val="21"/>
          <w:u w:val="single"/>
        </w:rPr>
        <w:t>授权代表身份证</w:t>
      </w:r>
      <w:r>
        <w:rPr>
          <w:rFonts w:hint="eastAsia" w:ascii="宋体" w:hAnsi="宋体" w:eastAsia="宋体" w:cs="宋体"/>
          <w:b/>
          <w:bCs/>
          <w:i/>
          <w:kern w:val="0"/>
          <w:szCs w:val="21"/>
          <w:u w:val="single"/>
        </w:rPr>
        <w:t>复印件</w:t>
      </w:r>
      <w:r>
        <w:rPr>
          <w:rFonts w:hint="eastAsia" w:ascii="宋体" w:hAnsi="宋体" w:eastAsia="宋体" w:cs="宋体"/>
          <w:b/>
          <w:i/>
          <w:kern w:val="0"/>
          <w:szCs w:val="21"/>
          <w:u w:val="single"/>
        </w:rPr>
        <w:t>加盖供应商公章（原件备查）</w:t>
      </w:r>
      <w:r>
        <w:rPr>
          <w:rFonts w:hint="eastAsia" w:ascii="宋体" w:hAnsi="宋体" w:eastAsia="宋体" w:cs="宋体"/>
          <w:i/>
          <w:kern w:val="0"/>
          <w:szCs w:val="21"/>
          <w:u w:val="single"/>
        </w:rPr>
        <w:t>；</w:t>
      </w:r>
    </w:p>
    <w:p w14:paraId="55A74BE8">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i/>
          <w:kern w:val="0"/>
          <w:szCs w:val="21"/>
          <w:u w:val="single"/>
        </w:rPr>
      </w:pPr>
      <w:r>
        <w:rPr>
          <w:rFonts w:hint="eastAsia" w:ascii="宋体" w:hAnsi="宋体" w:eastAsia="宋体" w:cs="宋体"/>
          <w:i/>
          <w:kern w:val="0"/>
          <w:szCs w:val="21"/>
          <w:u w:val="single"/>
        </w:rPr>
        <w:t>（4）营业执照副本</w:t>
      </w:r>
      <w:r>
        <w:rPr>
          <w:rFonts w:hint="eastAsia" w:ascii="宋体" w:hAnsi="宋体" w:eastAsia="宋体" w:cs="宋体"/>
          <w:b/>
          <w:bCs/>
          <w:i/>
          <w:kern w:val="0"/>
          <w:szCs w:val="21"/>
          <w:u w:val="single"/>
        </w:rPr>
        <w:t>（复印件加盖供应商公章）</w:t>
      </w:r>
    </w:p>
    <w:p w14:paraId="0C52D026">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i/>
          <w:kern w:val="0"/>
          <w:szCs w:val="21"/>
          <w:highlight w:val="none"/>
          <w:u w:val="single"/>
        </w:rPr>
      </w:pPr>
      <w:r>
        <w:rPr>
          <w:rFonts w:hint="eastAsia" w:ascii="宋体" w:hAnsi="宋体" w:eastAsia="宋体" w:cs="宋体"/>
          <w:i/>
          <w:kern w:val="0"/>
          <w:szCs w:val="21"/>
          <w:u w:val="single"/>
        </w:rPr>
        <w:t>（5）依法缴纳职工社会保障资金的证明材料</w:t>
      </w:r>
      <w:r>
        <w:rPr>
          <w:rFonts w:hint="eastAsia" w:ascii="宋体" w:hAnsi="宋体" w:eastAsia="宋体" w:cs="宋体"/>
          <w:b/>
          <w:bCs/>
          <w:i/>
          <w:kern w:val="0"/>
          <w:szCs w:val="21"/>
          <w:u w:val="single"/>
        </w:rPr>
        <w:t>(复印件加盖供应商公章</w:t>
      </w:r>
      <w:r>
        <w:rPr>
          <w:rFonts w:hint="eastAsia" w:ascii="宋体" w:hAnsi="宋体" w:eastAsia="宋体" w:cs="宋体"/>
          <w:i/>
          <w:kern w:val="0"/>
          <w:szCs w:val="21"/>
          <w:u w:val="single"/>
        </w:rPr>
        <w:t>)(税务、银行或社会保险基金管理部门出具的近三个月</w:t>
      </w:r>
      <w:r>
        <w:rPr>
          <w:rFonts w:hint="eastAsia" w:ascii="宋体" w:hAnsi="宋体" w:eastAsia="宋体" w:cs="宋体"/>
          <w:b/>
          <w:bCs/>
          <w:i/>
          <w:kern w:val="0"/>
          <w:szCs w:val="21"/>
          <w:highlight w:val="none"/>
          <w:u w:val="single"/>
        </w:rPr>
        <w:t>（202</w:t>
      </w:r>
      <w:r>
        <w:rPr>
          <w:rFonts w:hint="eastAsia" w:ascii="宋体" w:hAnsi="宋体" w:eastAsia="宋体" w:cs="宋体"/>
          <w:b/>
          <w:bCs/>
          <w:i/>
          <w:kern w:val="0"/>
          <w:szCs w:val="21"/>
          <w:highlight w:val="none"/>
          <w:u w:val="single"/>
          <w:lang w:val="en-US" w:eastAsia="zh-CN"/>
        </w:rPr>
        <w:t>5</w:t>
      </w:r>
      <w:r>
        <w:rPr>
          <w:rFonts w:hint="eastAsia" w:ascii="宋体" w:hAnsi="宋体" w:eastAsia="宋体" w:cs="宋体"/>
          <w:b/>
          <w:bCs/>
          <w:i/>
          <w:kern w:val="0"/>
          <w:szCs w:val="21"/>
          <w:highlight w:val="none"/>
          <w:u w:val="single"/>
        </w:rPr>
        <w:t>年</w:t>
      </w:r>
      <w:r>
        <w:rPr>
          <w:rFonts w:hint="eastAsia" w:ascii="宋体" w:hAnsi="宋体" w:eastAsia="宋体" w:cs="宋体"/>
          <w:b/>
          <w:bCs/>
          <w:i/>
          <w:kern w:val="0"/>
          <w:szCs w:val="21"/>
          <w:highlight w:val="none"/>
          <w:u w:val="single"/>
          <w:lang w:val="en-US" w:eastAsia="zh-CN"/>
        </w:rPr>
        <w:t>3</w:t>
      </w:r>
      <w:r>
        <w:rPr>
          <w:rFonts w:hint="eastAsia" w:ascii="宋体" w:hAnsi="宋体" w:eastAsia="宋体" w:cs="宋体"/>
          <w:b/>
          <w:bCs/>
          <w:i/>
          <w:kern w:val="0"/>
          <w:szCs w:val="21"/>
          <w:highlight w:val="none"/>
          <w:u w:val="single"/>
        </w:rPr>
        <w:t>月至202</w:t>
      </w:r>
      <w:r>
        <w:rPr>
          <w:rFonts w:hint="eastAsia" w:ascii="宋体" w:hAnsi="宋体" w:eastAsia="宋体" w:cs="宋体"/>
          <w:b/>
          <w:bCs/>
          <w:i/>
          <w:kern w:val="0"/>
          <w:szCs w:val="21"/>
          <w:highlight w:val="none"/>
          <w:u w:val="single"/>
          <w:lang w:val="en-US" w:eastAsia="zh-CN"/>
        </w:rPr>
        <w:t>5</w:t>
      </w:r>
      <w:r>
        <w:rPr>
          <w:rFonts w:hint="eastAsia" w:ascii="宋体" w:hAnsi="宋体" w:eastAsia="宋体" w:cs="宋体"/>
          <w:b/>
          <w:bCs/>
          <w:i/>
          <w:kern w:val="0"/>
          <w:szCs w:val="21"/>
          <w:highlight w:val="none"/>
          <w:u w:val="single"/>
        </w:rPr>
        <w:t>年</w:t>
      </w:r>
      <w:r>
        <w:rPr>
          <w:rFonts w:hint="eastAsia" w:ascii="宋体" w:hAnsi="宋体" w:eastAsia="宋体" w:cs="宋体"/>
          <w:b/>
          <w:bCs/>
          <w:i/>
          <w:kern w:val="0"/>
          <w:szCs w:val="21"/>
          <w:highlight w:val="none"/>
          <w:u w:val="single"/>
          <w:lang w:val="en-US" w:eastAsia="zh-CN"/>
        </w:rPr>
        <w:t>5</w:t>
      </w:r>
      <w:r>
        <w:rPr>
          <w:rFonts w:hint="eastAsia" w:ascii="宋体" w:hAnsi="宋体" w:eastAsia="宋体" w:cs="宋体"/>
          <w:b/>
          <w:bCs/>
          <w:i/>
          <w:kern w:val="0"/>
          <w:szCs w:val="21"/>
          <w:highlight w:val="none"/>
          <w:u w:val="single"/>
        </w:rPr>
        <w:t>月）</w:t>
      </w:r>
      <w:r>
        <w:rPr>
          <w:rFonts w:hint="eastAsia" w:ascii="宋体" w:hAnsi="宋体" w:eastAsia="宋体" w:cs="宋体"/>
          <w:i/>
          <w:kern w:val="0"/>
          <w:szCs w:val="21"/>
          <w:highlight w:val="none"/>
          <w:u w:val="single"/>
        </w:rPr>
        <w:t>内任意一个月缴纳职工社会保障资金的缴款凭证或缴款证明)</w:t>
      </w:r>
    </w:p>
    <w:p w14:paraId="40841F0F">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i/>
          <w:kern w:val="0"/>
          <w:szCs w:val="21"/>
          <w:u w:val="single"/>
        </w:rPr>
      </w:pPr>
      <w:r>
        <w:rPr>
          <w:rFonts w:hint="eastAsia" w:ascii="宋体" w:hAnsi="宋体" w:eastAsia="宋体" w:cs="宋体"/>
          <w:i/>
          <w:kern w:val="0"/>
          <w:szCs w:val="21"/>
          <w:highlight w:val="none"/>
          <w:u w:val="single"/>
        </w:rPr>
        <w:t>（6）供应商近三个月</w:t>
      </w:r>
      <w:r>
        <w:rPr>
          <w:rFonts w:hint="eastAsia" w:ascii="宋体" w:hAnsi="宋体" w:eastAsia="宋体" w:cs="宋体"/>
          <w:b/>
          <w:bCs/>
          <w:i/>
          <w:kern w:val="0"/>
          <w:szCs w:val="21"/>
          <w:highlight w:val="none"/>
          <w:u w:val="single"/>
        </w:rPr>
        <w:t>（202</w:t>
      </w:r>
      <w:r>
        <w:rPr>
          <w:rFonts w:hint="eastAsia" w:ascii="宋体" w:hAnsi="宋体" w:eastAsia="宋体" w:cs="宋体"/>
          <w:b/>
          <w:bCs/>
          <w:i/>
          <w:kern w:val="0"/>
          <w:szCs w:val="21"/>
          <w:highlight w:val="none"/>
          <w:u w:val="single"/>
          <w:lang w:val="en-US" w:eastAsia="zh-CN"/>
        </w:rPr>
        <w:t>5</w:t>
      </w:r>
      <w:r>
        <w:rPr>
          <w:rFonts w:hint="eastAsia" w:ascii="宋体" w:hAnsi="宋体" w:eastAsia="宋体" w:cs="宋体"/>
          <w:b/>
          <w:bCs/>
          <w:i/>
          <w:kern w:val="0"/>
          <w:szCs w:val="21"/>
          <w:highlight w:val="none"/>
          <w:u w:val="single"/>
        </w:rPr>
        <w:t>年</w:t>
      </w:r>
      <w:r>
        <w:rPr>
          <w:rFonts w:hint="eastAsia" w:ascii="宋体" w:hAnsi="宋体" w:eastAsia="宋体" w:cs="宋体"/>
          <w:b/>
          <w:bCs/>
          <w:i/>
          <w:kern w:val="0"/>
          <w:szCs w:val="21"/>
          <w:highlight w:val="none"/>
          <w:u w:val="single"/>
          <w:lang w:val="en-US" w:eastAsia="zh-CN"/>
        </w:rPr>
        <w:t>3</w:t>
      </w:r>
      <w:r>
        <w:rPr>
          <w:rFonts w:hint="eastAsia" w:ascii="宋体" w:hAnsi="宋体" w:eastAsia="宋体" w:cs="宋体"/>
          <w:b/>
          <w:bCs/>
          <w:i/>
          <w:kern w:val="0"/>
          <w:szCs w:val="21"/>
          <w:highlight w:val="none"/>
          <w:u w:val="single"/>
        </w:rPr>
        <w:t>月至202</w:t>
      </w:r>
      <w:r>
        <w:rPr>
          <w:rFonts w:hint="eastAsia" w:ascii="宋体" w:hAnsi="宋体" w:eastAsia="宋体" w:cs="宋体"/>
          <w:b/>
          <w:bCs/>
          <w:i/>
          <w:kern w:val="0"/>
          <w:szCs w:val="21"/>
          <w:highlight w:val="none"/>
          <w:u w:val="single"/>
          <w:lang w:val="en-US" w:eastAsia="zh-CN"/>
        </w:rPr>
        <w:t>5</w:t>
      </w:r>
      <w:r>
        <w:rPr>
          <w:rFonts w:hint="eastAsia" w:ascii="宋体" w:hAnsi="宋体" w:eastAsia="宋体" w:cs="宋体"/>
          <w:b/>
          <w:bCs/>
          <w:i/>
          <w:kern w:val="0"/>
          <w:szCs w:val="21"/>
          <w:highlight w:val="none"/>
          <w:u w:val="single"/>
        </w:rPr>
        <w:t>年</w:t>
      </w:r>
      <w:r>
        <w:rPr>
          <w:rFonts w:hint="eastAsia" w:ascii="宋体" w:hAnsi="宋体" w:eastAsia="宋体" w:cs="宋体"/>
          <w:b/>
          <w:bCs/>
          <w:i/>
          <w:kern w:val="0"/>
          <w:szCs w:val="21"/>
          <w:highlight w:val="none"/>
          <w:u w:val="single"/>
          <w:lang w:val="en-US" w:eastAsia="zh-CN"/>
        </w:rPr>
        <w:t>5</w:t>
      </w:r>
      <w:r>
        <w:rPr>
          <w:rFonts w:hint="eastAsia" w:ascii="宋体" w:hAnsi="宋体" w:eastAsia="宋体" w:cs="宋体"/>
          <w:b/>
          <w:bCs/>
          <w:i/>
          <w:kern w:val="0"/>
          <w:szCs w:val="21"/>
          <w:highlight w:val="none"/>
          <w:u w:val="single"/>
        </w:rPr>
        <w:t>月）</w:t>
      </w:r>
      <w:r>
        <w:rPr>
          <w:rFonts w:hint="eastAsia" w:ascii="宋体" w:hAnsi="宋体" w:eastAsia="宋体" w:cs="宋体"/>
          <w:i/>
          <w:kern w:val="0"/>
          <w:szCs w:val="21"/>
          <w:highlight w:val="none"/>
          <w:u w:val="single"/>
        </w:rPr>
        <w:t>内任意一</w:t>
      </w:r>
      <w:r>
        <w:rPr>
          <w:rFonts w:hint="eastAsia" w:ascii="宋体" w:hAnsi="宋体" w:eastAsia="宋体" w:cs="宋体"/>
          <w:i/>
          <w:kern w:val="0"/>
          <w:szCs w:val="21"/>
          <w:u w:val="single"/>
        </w:rPr>
        <w:t>个月依法纳税的缴款凭证</w:t>
      </w:r>
      <w:r>
        <w:rPr>
          <w:rFonts w:hint="eastAsia" w:ascii="宋体" w:hAnsi="宋体" w:eastAsia="宋体" w:cs="宋体"/>
          <w:b/>
          <w:bCs/>
          <w:i/>
          <w:kern w:val="0"/>
          <w:szCs w:val="21"/>
          <w:u w:val="single"/>
        </w:rPr>
        <w:t>(复印件加盖供应商公章)</w:t>
      </w:r>
    </w:p>
    <w:p w14:paraId="196E097C">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rPr>
          <w:rFonts w:hint="eastAsia" w:ascii="宋体" w:hAnsi="宋体" w:eastAsia="宋体" w:cs="宋体"/>
          <w:i/>
          <w:kern w:val="0"/>
          <w:szCs w:val="21"/>
          <w:u w:val="single"/>
        </w:rPr>
      </w:pPr>
      <w:r>
        <w:rPr>
          <w:rFonts w:hint="eastAsia" w:ascii="宋体" w:hAnsi="宋体" w:eastAsia="宋体" w:cs="宋体"/>
          <w:i/>
          <w:kern w:val="0"/>
          <w:szCs w:val="21"/>
          <w:u w:val="single"/>
        </w:rPr>
        <w:t>（7）上一年度财务报告（成立不满一年不需提供，如2024年度财务审计报告未出，可提供2023年财务审计报告）</w:t>
      </w:r>
      <w:r>
        <w:rPr>
          <w:rFonts w:hint="eastAsia" w:ascii="宋体" w:hAnsi="宋体" w:eastAsia="宋体" w:cs="宋体"/>
          <w:b/>
          <w:bCs/>
          <w:i/>
          <w:kern w:val="0"/>
          <w:szCs w:val="21"/>
          <w:u w:val="single"/>
        </w:rPr>
        <w:t>(复印件加盖供应商公章)</w:t>
      </w:r>
    </w:p>
    <w:p w14:paraId="32507B2B">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i/>
          <w:kern w:val="0"/>
          <w:szCs w:val="21"/>
          <w:u w:val="single"/>
        </w:rPr>
      </w:pPr>
      <w:r>
        <w:rPr>
          <w:rFonts w:hint="eastAsia" w:ascii="宋体" w:hAnsi="宋体" w:eastAsia="宋体" w:cs="宋体"/>
          <w:i/>
          <w:kern w:val="0"/>
          <w:szCs w:val="21"/>
          <w:u w:val="single"/>
        </w:rPr>
        <w:t>（8）供应商参加本次采购活动前3年内在经营活动中没有重大违法记录的书面声明（</w:t>
      </w:r>
      <w:r>
        <w:rPr>
          <w:rFonts w:hint="eastAsia" w:ascii="宋体" w:hAnsi="宋体" w:eastAsia="宋体" w:cs="宋体"/>
          <w:b/>
          <w:bCs/>
          <w:i/>
          <w:kern w:val="0"/>
          <w:szCs w:val="21"/>
          <w:u w:val="single"/>
        </w:rPr>
        <w:t>原件）</w:t>
      </w:r>
    </w:p>
    <w:p w14:paraId="79092560">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i/>
          <w:kern w:val="0"/>
          <w:szCs w:val="21"/>
          <w:u w:val="single"/>
        </w:rPr>
      </w:pPr>
      <w:r>
        <w:rPr>
          <w:rFonts w:hint="eastAsia" w:ascii="宋体" w:hAnsi="宋体" w:eastAsia="宋体" w:cs="宋体"/>
          <w:i/>
          <w:kern w:val="0"/>
          <w:szCs w:val="21"/>
          <w:u w:val="single"/>
        </w:rPr>
        <w:t>（9）未被“信用中国”网站（www.creditchina.gov.cn）、“中国政府采购网"(www.ccgp.gov.cn)列入失信被执行人、重大税收违法案件当事人名单、政府采购严重违法失信行为记录名单</w:t>
      </w:r>
      <w:r>
        <w:rPr>
          <w:rFonts w:hint="eastAsia" w:ascii="宋体" w:hAnsi="宋体" w:eastAsia="宋体" w:cs="宋体"/>
          <w:b/>
          <w:bCs/>
          <w:i/>
          <w:iCs/>
          <w:kern w:val="0"/>
          <w:szCs w:val="21"/>
          <w:u w:val="single"/>
          <w:lang w:val="en"/>
        </w:rPr>
        <w:t>（提供网页查询截图并加盖供应商公章，查询时间为自公告发布至开标截止时间前任意时间）</w:t>
      </w:r>
    </w:p>
    <w:p w14:paraId="19DF2C45">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i/>
          <w:kern w:val="0"/>
          <w:szCs w:val="21"/>
          <w:u w:val="single"/>
        </w:rPr>
      </w:pPr>
      <w:r>
        <w:rPr>
          <w:rFonts w:hint="eastAsia" w:ascii="宋体" w:hAnsi="宋体" w:eastAsia="宋体" w:cs="宋体"/>
          <w:i/>
          <w:kern w:val="0"/>
          <w:szCs w:val="21"/>
          <w:u w:val="single"/>
        </w:rPr>
        <w:t>（10）供应商信用承诺书</w:t>
      </w:r>
      <w:r>
        <w:rPr>
          <w:rFonts w:hint="eastAsia" w:ascii="宋体" w:hAnsi="宋体" w:eastAsia="宋体" w:cs="宋体"/>
          <w:b/>
          <w:bCs/>
          <w:i/>
          <w:kern w:val="0"/>
          <w:szCs w:val="21"/>
          <w:u w:val="single"/>
        </w:rPr>
        <w:t>（原件）</w:t>
      </w:r>
    </w:p>
    <w:p w14:paraId="7689ECB1">
      <w:pPr>
        <w:keepNext w:val="0"/>
        <w:keepLines w:val="0"/>
        <w:pageBreakBefore w:val="0"/>
        <w:widowControl w:val="0"/>
        <w:numPr>
          <w:ilvl w:val="0"/>
          <w:numId w:val="4"/>
        </w:numPr>
        <w:kinsoku/>
        <w:wordWrap/>
        <w:overflowPunct/>
        <w:topLinePunct w:val="0"/>
        <w:autoSpaceDE/>
        <w:autoSpaceDN/>
        <w:bidi w:val="0"/>
        <w:spacing w:line="360" w:lineRule="auto"/>
        <w:ind w:firstLine="420" w:firstLineChars="200"/>
        <w:jc w:val="left"/>
        <w:rPr>
          <w:rFonts w:hint="eastAsia" w:ascii="宋体" w:hAnsi="宋体" w:eastAsia="宋体" w:cs="宋体"/>
          <w:i/>
          <w:color w:val="000000"/>
          <w:u w:val="single"/>
        </w:rPr>
      </w:pPr>
      <w:r>
        <w:rPr>
          <w:rFonts w:hint="eastAsia" w:ascii="宋体" w:hAnsi="宋体" w:eastAsia="宋体" w:cs="宋体"/>
        </w:rPr>
        <w:t>落实采购政策需满足的资格要求：</w:t>
      </w:r>
      <w:r>
        <w:rPr>
          <w:rFonts w:hint="eastAsia" w:ascii="宋体" w:hAnsi="宋体" w:eastAsia="宋体" w:cs="宋体"/>
          <w:i/>
          <w:color w:val="000000"/>
          <w:u w:val="single"/>
        </w:rPr>
        <w:t>无</w:t>
      </w:r>
    </w:p>
    <w:p w14:paraId="0B3D3FBD">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3、本项目的特定资格要求：</w:t>
      </w:r>
      <w:r>
        <w:rPr>
          <w:rFonts w:hint="eastAsia" w:ascii="宋体" w:hAnsi="宋体" w:cs="Arial"/>
          <w:bCs/>
          <w:i/>
          <w:iCs/>
          <w:szCs w:val="21"/>
          <w:u w:val="single"/>
        </w:rPr>
        <w:t>供应商为</w:t>
      </w:r>
      <w:r>
        <w:rPr>
          <w:rFonts w:hint="eastAsia" w:ascii="宋体" w:hAnsi="宋体" w:cs="Arial"/>
          <w:bCs/>
          <w:i/>
          <w:iCs/>
          <w:szCs w:val="21"/>
          <w:u w:val="single"/>
          <w:lang w:val="en-US" w:eastAsia="zh-CN"/>
        </w:rPr>
        <w:t>授权委托人</w:t>
      </w:r>
      <w:r>
        <w:rPr>
          <w:rFonts w:hint="eastAsia" w:ascii="宋体" w:hAnsi="宋体" w:cs="Arial"/>
          <w:bCs/>
          <w:i/>
          <w:iCs/>
          <w:szCs w:val="21"/>
          <w:u w:val="single"/>
        </w:rPr>
        <w:t>缴纳的</w:t>
      </w:r>
      <w:r>
        <w:rPr>
          <w:rFonts w:hint="eastAsia" w:ascii="宋体" w:hAnsi="宋体" w:cs="宋体"/>
          <w:i/>
          <w:kern w:val="0"/>
          <w:szCs w:val="21"/>
          <w:u w:val="single"/>
          <w:lang w:eastAsia="zh-CN"/>
        </w:rPr>
        <w:t>202</w:t>
      </w:r>
      <w:r>
        <w:rPr>
          <w:rFonts w:hint="eastAsia" w:ascii="宋体" w:hAnsi="宋体" w:cs="宋体"/>
          <w:i/>
          <w:kern w:val="0"/>
          <w:szCs w:val="21"/>
          <w:u w:val="single"/>
          <w:lang w:val="en-US" w:eastAsia="zh-CN"/>
        </w:rPr>
        <w:t>5</w:t>
      </w:r>
      <w:r>
        <w:rPr>
          <w:rFonts w:hint="eastAsia" w:ascii="宋体" w:hAnsi="宋体" w:cs="宋体"/>
          <w:i/>
          <w:kern w:val="0"/>
          <w:szCs w:val="21"/>
          <w:u w:val="single"/>
          <w:lang w:eastAsia="zh-CN"/>
        </w:rPr>
        <w:t>年</w:t>
      </w:r>
      <w:r>
        <w:rPr>
          <w:rFonts w:hint="eastAsia" w:ascii="宋体" w:hAnsi="宋体" w:cs="宋体"/>
          <w:i/>
          <w:kern w:val="0"/>
          <w:szCs w:val="21"/>
          <w:u w:val="single"/>
          <w:lang w:val="en-US" w:eastAsia="zh-CN"/>
        </w:rPr>
        <w:t>3</w:t>
      </w:r>
      <w:r>
        <w:rPr>
          <w:rFonts w:hint="eastAsia" w:ascii="宋体" w:hAnsi="宋体" w:cs="宋体"/>
          <w:i/>
          <w:kern w:val="0"/>
          <w:szCs w:val="21"/>
          <w:u w:val="single"/>
          <w:lang w:eastAsia="zh-CN"/>
        </w:rPr>
        <w:t>月至202</w:t>
      </w:r>
      <w:r>
        <w:rPr>
          <w:rFonts w:hint="eastAsia" w:ascii="宋体" w:hAnsi="宋体" w:cs="宋体"/>
          <w:i/>
          <w:kern w:val="0"/>
          <w:szCs w:val="21"/>
          <w:u w:val="single"/>
          <w:lang w:val="en-US" w:eastAsia="zh-CN"/>
        </w:rPr>
        <w:t>5</w:t>
      </w:r>
      <w:r>
        <w:rPr>
          <w:rFonts w:hint="eastAsia" w:ascii="宋体" w:hAnsi="宋体" w:cs="宋体"/>
          <w:i/>
          <w:kern w:val="0"/>
          <w:szCs w:val="21"/>
          <w:u w:val="single"/>
          <w:lang w:eastAsia="zh-CN"/>
        </w:rPr>
        <w:t>年</w:t>
      </w:r>
      <w:r>
        <w:rPr>
          <w:rFonts w:hint="eastAsia" w:ascii="宋体" w:hAnsi="宋体" w:cs="宋体"/>
          <w:i/>
          <w:kern w:val="0"/>
          <w:szCs w:val="21"/>
          <w:u w:val="single"/>
          <w:lang w:val="en-US" w:eastAsia="zh-CN"/>
        </w:rPr>
        <w:t>5</w:t>
      </w:r>
      <w:r>
        <w:rPr>
          <w:rFonts w:hint="eastAsia" w:ascii="宋体" w:hAnsi="宋体" w:cs="宋体"/>
          <w:i/>
          <w:kern w:val="0"/>
          <w:szCs w:val="21"/>
          <w:u w:val="single"/>
          <w:lang w:eastAsia="zh-CN"/>
        </w:rPr>
        <w:t>月</w:t>
      </w:r>
      <w:r>
        <w:rPr>
          <w:rFonts w:hint="eastAsia" w:ascii="宋体" w:hAnsi="宋体" w:cs="Arial"/>
          <w:bCs/>
          <w:i/>
          <w:iCs/>
          <w:szCs w:val="21"/>
          <w:u w:val="single"/>
        </w:rPr>
        <w:t>任意一个月的社保证明</w:t>
      </w:r>
      <w:r>
        <w:rPr>
          <w:rFonts w:hint="eastAsia" w:ascii="宋体" w:hAnsi="宋体" w:cs="Arial"/>
          <w:b/>
          <w:bCs/>
          <w:i/>
          <w:iCs/>
          <w:szCs w:val="21"/>
          <w:u w:val="single"/>
        </w:rPr>
        <w:t>(复印件加盖供应商公章)</w:t>
      </w:r>
    </w:p>
    <w:bookmarkEnd w:id="129"/>
    <w:bookmarkEnd w:id="130"/>
    <w:bookmarkEnd w:id="131"/>
    <w:bookmarkEnd w:id="135"/>
    <w:bookmarkEnd w:id="136"/>
    <w:bookmarkEnd w:id="137"/>
    <w:bookmarkEnd w:id="138"/>
    <w:bookmarkEnd w:id="139"/>
    <w:bookmarkEnd w:id="140"/>
    <w:bookmarkEnd w:id="141"/>
    <w:bookmarkEnd w:id="142"/>
    <w:p w14:paraId="05B3B39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注：磋商响应文件的正本和副本中均须提供资格证明文件的复印件。磋商</w:t>
      </w:r>
      <w:bookmarkStart w:id="147" w:name="_GoBack"/>
      <w:bookmarkEnd w:id="147"/>
      <w:r>
        <w:rPr>
          <w:rFonts w:hint="eastAsia" w:ascii="宋体" w:hAnsi="宋体" w:cs="宋体"/>
          <w:color w:val="000000"/>
          <w:szCs w:val="21"/>
        </w:rPr>
        <w:t>响应文件中所有要求提供资格证明文件原件的，请单独封装，并在封袋上注明“资格证明文件原件”和响应文件一同递交。资格证明文件须清晰可辨，若有缺失或不清晰，将导致投标被拒绝且不允许在开标后补正。</w:t>
      </w:r>
    </w:p>
    <w:p w14:paraId="7D266289">
      <w:pPr>
        <w:spacing w:line="360" w:lineRule="auto"/>
        <w:ind w:firstLine="420" w:firstLineChars="200"/>
        <w:rPr>
          <w:rFonts w:hint="eastAsia" w:ascii="宋体" w:hAnsi="宋体" w:cs="宋体"/>
          <w:color w:val="000000"/>
        </w:rPr>
      </w:pPr>
      <w:r>
        <w:rPr>
          <w:rFonts w:hint="eastAsia" w:ascii="宋体" w:hAnsi="宋体" w:cs="宋体"/>
          <w:color w:val="000000"/>
        </w:rPr>
        <w:t>4、拒绝下述供应商参加本次采购活动：</w:t>
      </w:r>
    </w:p>
    <w:p w14:paraId="300C314C">
      <w:pPr>
        <w:spacing w:line="360" w:lineRule="auto"/>
        <w:ind w:firstLine="420" w:firstLineChars="200"/>
        <w:rPr>
          <w:rFonts w:hint="eastAsia" w:ascii="宋体" w:hAnsi="宋体" w:cs="宋体"/>
          <w:color w:val="000000"/>
        </w:rPr>
      </w:pPr>
      <w:r>
        <w:rPr>
          <w:rFonts w:hint="eastAsia" w:ascii="宋体" w:hAnsi="宋体" w:cs="宋体"/>
          <w:color w:val="000000"/>
        </w:rPr>
        <w:t>（1）供应商单位负责人为同一人或者存在直接控股、管理关系的不同供应商，不得参加同一合同项下的采购活动。</w:t>
      </w:r>
    </w:p>
    <w:p w14:paraId="03E31E4F">
      <w:pPr>
        <w:spacing w:line="360" w:lineRule="auto"/>
        <w:ind w:firstLine="420" w:firstLineChars="200"/>
        <w:outlineLvl w:val="0"/>
        <w:rPr>
          <w:rFonts w:hint="eastAsia" w:ascii="宋体" w:hAnsi="宋体" w:cs="宋体"/>
          <w:color w:val="000000"/>
          <w:szCs w:val="21"/>
        </w:rPr>
      </w:pPr>
      <w:r>
        <w:rPr>
          <w:rFonts w:hint="eastAsia" w:ascii="宋体" w:hAnsi="宋体" w:cs="宋体"/>
          <w:color w:val="000000"/>
          <w:szCs w:val="21"/>
        </w:rPr>
        <w:t>（2）凡为采购项目提供整体设计、规范编制或者项目管理、监理、检测等服务的供应商，不得再参加该项目的其他采购活动。</w:t>
      </w:r>
    </w:p>
    <w:p w14:paraId="267B6BA6">
      <w:pPr>
        <w:spacing w:line="360" w:lineRule="auto"/>
        <w:ind w:firstLine="420" w:firstLineChars="200"/>
        <w:rPr>
          <w:rFonts w:hint="eastAsia" w:ascii="宋体" w:hAnsi="宋体" w:cs="宋体"/>
          <w:szCs w:val="21"/>
        </w:rPr>
      </w:pPr>
      <w:r>
        <w:rPr>
          <w:rFonts w:hint="eastAsia" w:ascii="宋体" w:hAnsi="宋体" w:cs="宋体"/>
          <w:color w:val="000000"/>
          <w:szCs w:val="21"/>
        </w:rPr>
        <w:t>（3）供应商被“信用中国”网站（www.creditchina.gov.cn）、“中国政府采购网"(www.ccgp.gov.cn)列入失信被执行人、重大税收违法案件当事人名单、采购严重违法失信行为记录名单。</w:t>
      </w:r>
    </w:p>
    <w:p w14:paraId="6916D345">
      <w:pPr>
        <w:pStyle w:val="2"/>
        <w:spacing w:line="360" w:lineRule="auto"/>
        <w:ind w:firstLine="422"/>
        <w:jc w:val="center"/>
        <w:rPr>
          <w:rFonts w:hint="eastAsia" w:ascii="宋体" w:hAnsi="宋体" w:eastAsia="宋体" w:cs="宋体"/>
          <w:b/>
          <w:szCs w:val="21"/>
        </w:rPr>
      </w:pPr>
      <w:r>
        <w:rPr>
          <w:rFonts w:hint="eastAsia" w:ascii="宋体" w:hAnsi="宋体" w:cs="宋体"/>
          <w:b/>
          <w:szCs w:val="21"/>
        </w:rPr>
        <w:br w:type="page"/>
      </w:r>
      <w:r>
        <w:rPr>
          <w:rFonts w:hint="eastAsia" w:ascii="宋体" w:hAnsi="宋体" w:eastAsia="宋体" w:cs="宋体"/>
          <w:b/>
          <w:szCs w:val="21"/>
        </w:rPr>
        <w:t>资 格 声 明</w:t>
      </w:r>
    </w:p>
    <w:p w14:paraId="5AC084C7">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kern w:val="1"/>
          <w:szCs w:val="21"/>
        </w:rPr>
      </w:pPr>
      <w:r>
        <w:rPr>
          <w:rFonts w:hint="eastAsia" w:ascii="宋体" w:hAnsi="宋体" w:eastAsia="宋体" w:cs="宋体"/>
          <w:kern w:val="1"/>
          <w:szCs w:val="21"/>
        </w:rPr>
        <w:t>1、名称及其它情况：</w:t>
      </w:r>
    </w:p>
    <w:p w14:paraId="600C0022">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kern w:val="1"/>
          <w:szCs w:val="21"/>
        </w:rPr>
      </w:pPr>
      <w:r>
        <w:rPr>
          <w:rFonts w:hint="eastAsia" w:ascii="宋体" w:hAnsi="宋体" w:eastAsia="宋体" w:cs="宋体"/>
          <w:kern w:val="1"/>
          <w:szCs w:val="21"/>
        </w:rPr>
        <w:t>（1）供应商名称：</w:t>
      </w:r>
      <w:r>
        <w:rPr>
          <w:rFonts w:hint="eastAsia" w:ascii="宋体" w:hAnsi="宋体" w:eastAsia="宋体" w:cs="宋体"/>
          <w:kern w:val="1"/>
          <w:szCs w:val="21"/>
          <w:u w:val="single"/>
        </w:rPr>
        <w:t xml:space="preserve">                         </w:t>
      </w:r>
    </w:p>
    <w:p w14:paraId="2D3FDDB0">
      <w:pPr>
        <w:keepNext w:val="0"/>
        <w:keepLines w:val="0"/>
        <w:pageBreakBefore w:val="0"/>
        <w:widowControl w:val="0"/>
        <w:tabs>
          <w:tab w:val="left" w:pos="4740"/>
        </w:tabs>
        <w:kinsoku/>
        <w:wordWrap/>
        <w:overflowPunct/>
        <w:topLinePunct w:val="0"/>
        <w:autoSpaceDE/>
        <w:autoSpaceDN/>
        <w:bidi w:val="0"/>
        <w:spacing w:line="288" w:lineRule="auto"/>
        <w:rPr>
          <w:rFonts w:hint="eastAsia" w:ascii="宋体" w:hAnsi="宋体" w:eastAsia="宋体" w:cs="宋体"/>
          <w:kern w:val="1"/>
          <w:szCs w:val="21"/>
        </w:rPr>
      </w:pPr>
      <w:r>
        <w:rPr>
          <w:rFonts w:hint="eastAsia" w:ascii="宋体" w:hAnsi="宋体" w:eastAsia="宋体" w:cs="宋体"/>
          <w:kern w:val="1"/>
          <w:szCs w:val="21"/>
        </w:rPr>
        <w:t>（2）地址：</w:t>
      </w:r>
      <w:r>
        <w:rPr>
          <w:rFonts w:hint="eastAsia" w:ascii="宋体" w:hAnsi="宋体" w:eastAsia="宋体" w:cs="宋体"/>
          <w:kern w:val="1"/>
          <w:szCs w:val="21"/>
          <w:u w:val="single"/>
        </w:rPr>
        <w:t xml:space="preserve">                               </w:t>
      </w:r>
      <w:r>
        <w:rPr>
          <w:rFonts w:hint="eastAsia" w:ascii="宋体" w:hAnsi="宋体" w:eastAsia="宋体" w:cs="宋体"/>
          <w:kern w:val="1"/>
          <w:szCs w:val="21"/>
        </w:rPr>
        <w:tab/>
      </w:r>
      <w:r>
        <w:rPr>
          <w:rFonts w:hint="eastAsia" w:ascii="宋体" w:hAnsi="宋体" w:eastAsia="宋体" w:cs="宋体"/>
          <w:kern w:val="1"/>
          <w:szCs w:val="21"/>
        </w:rPr>
        <w:t>邮编：</w:t>
      </w:r>
      <w:r>
        <w:rPr>
          <w:rFonts w:hint="eastAsia" w:ascii="宋体" w:hAnsi="宋体" w:eastAsia="宋体" w:cs="宋体"/>
          <w:kern w:val="1"/>
          <w:szCs w:val="21"/>
          <w:u w:val="single"/>
        </w:rPr>
        <w:t xml:space="preserve">                  </w:t>
      </w:r>
      <w:r>
        <w:rPr>
          <w:rFonts w:hint="eastAsia" w:ascii="宋体" w:hAnsi="宋体" w:eastAsia="宋体" w:cs="宋体"/>
          <w:kern w:val="1"/>
          <w:szCs w:val="21"/>
        </w:rPr>
        <w:t xml:space="preserve"> </w:t>
      </w:r>
    </w:p>
    <w:p w14:paraId="0638E509">
      <w:pPr>
        <w:keepNext w:val="0"/>
        <w:keepLines w:val="0"/>
        <w:pageBreakBefore w:val="0"/>
        <w:widowControl w:val="0"/>
        <w:tabs>
          <w:tab w:val="left" w:pos="600"/>
          <w:tab w:val="left" w:pos="4320"/>
        </w:tabs>
        <w:kinsoku/>
        <w:wordWrap/>
        <w:overflowPunct/>
        <w:topLinePunct w:val="0"/>
        <w:autoSpaceDE/>
        <w:autoSpaceDN/>
        <w:bidi w:val="0"/>
        <w:spacing w:line="288" w:lineRule="auto"/>
        <w:ind w:firstLine="525"/>
        <w:rPr>
          <w:rFonts w:hint="eastAsia" w:ascii="宋体" w:hAnsi="宋体" w:eastAsia="宋体" w:cs="宋体"/>
          <w:kern w:val="1"/>
          <w:szCs w:val="21"/>
        </w:rPr>
      </w:pPr>
      <w:r>
        <w:rPr>
          <w:rFonts w:hint="eastAsia" w:ascii="宋体" w:hAnsi="宋体" w:eastAsia="宋体" w:cs="宋体"/>
          <w:kern w:val="1"/>
          <w:szCs w:val="21"/>
        </w:rPr>
        <w:t>电话：</w:t>
      </w:r>
      <w:r>
        <w:rPr>
          <w:rFonts w:hint="eastAsia" w:ascii="宋体" w:hAnsi="宋体" w:eastAsia="宋体" w:cs="宋体"/>
          <w:kern w:val="1"/>
          <w:szCs w:val="21"/>
          <w:u w:val="single"/>
        </w:rPr>
        <w:t xml:space="preserve">                               </w:t>
      </w:r>
      <w:r>
        <w:rPr>
          <w:rFonts w:hint="eastAsia" w:ascii="宋体" w:hAnsi="宋体" w:eastAsia="宋体" w:cs="宋体"/>
          <w:kern w:val="1"/>
          <w:szCs w:val="21"/>
        </w:rPr>
        <w:t xml:space="preserve">   传真：</w:t>
      </w:r>
      <w:r>
        <w:rPr>
          <w:rFonts w:hint="eastAsia" w:ascii="宋体" w:hAnsi="宋体" w:eastAsia="宋体" w:cs="宋体"/>
          <w:kern w:val="1"/>
          <w:szCs w:val="21"/>
          <w:u w:val="single"/>
        </w:rPr>
        <w:t xml:space="preserve">                  </w:t>
      </w:r>
    </w:p>
    <w:p w14:paraId="1D204120">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kern w:val="1"/>
          <w:szCs w:val="21"/>
          <w:u w:val="single"/>
        </w:rPr>
      </w:pPr>
      <w:r>
        <w:rPr>
          <w:rFonts w:hint="eastAsia" w:ascii="宋体" w:hAnsi="宋体" w:eastAsia="宋体" w:cs="宋体"/>
          <w:kern w:val="1"/>
          <w:szCs w:val="21"/>
        </w:rPr>
        <w:t>（3）成立和/或注册日期：</w:t>
      </w:r>
      <w:r>
        <w:rPr>
          <w:rFonts w:hint="eastAsia" w:ascii="宋体" w:hAnsi="宋体" w:eastAsia="宋体" w:cs="宋体"/>
          <w:kern w:val="1"/>
          <w:szCs w:val="21"/>
          <w:u w:val="single"/>
        </w:rPr>
        <w:t xml:space="preserve">                  </w:t>
      </w:r>
    </w:p>
    <w:p w14:paraId="328A2A5E">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kern w:val="1"/>
          <w:szCs w:val="21"/>
        </w:rPr>
      </w:pPr>
      <w:r>
        <w:rPr>
          <w:rFonts w:hint="eastAsia" w:ascii="宋体" w:hAnsi="宋体" w:eastAsia="宋体" w:cs="宋体"/>
          <w:kern w:val="1"/>
          <w:szCs w:val="21"/>
        </w:rPr>
        <w:t>（4）法定代表人：</w:t>
      </w:r>
      <w:r>
        <w:rPr>
          <w:rFonts w:hint="eastAsia" w:ascii="宋体" w:hAnsi="宋体" w:eastAsia="宋体" w:cs="宋体"/>
          <w:kern w:val="1"/>
          <w:szCs w:val="21"/>
          <w:u w:val="single"/>
        </w:rPr>
        <w:t xml:space="preserve">                         </w:t>
      </w:r>
    </w:p>
    <w:p w14:paraId="1435248E">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kern w:val="1"/>
          <w:szCs w:val="21"/>
          <w:u w:val="single"/>
        </w:rPr>
      </w:pPr>
      <w:r>
        <w:rPr>
          <w:rFonts w:hint="eastAsia" w:ascii="宋体" w:hAnsi="宋体" w:eastAsia="宋体" w:cs="宋体"/>
          <w:kern w:val="1"/>
          <w:szCs w:val="21"/>
        </w:rPr>
        <w:t>（5）实收资本：</w:t>
      </w:r>
      <w:r>
        <w:rPr>
          <w:rFonts w:hint="eastAsia" w:ascii="宋体" w:hAnsi="宋体" w:eastAsia="宋体" w:cs="宋体"/>
          <w:kern w:val="1"/>
          <w:szCs w:val="21"/>
          <w:u w:val="single"/>
        </w:rPr>
        <w:t xml:space="preserve">                           </w:t>
      </w:r>
    </w:p>
    <w:p w14:paraId="02065930">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kern w:val="1"/>
          <w:szCs w:val="21"/>
        </w:rPr>
      </w:pPr>
      <w:r>
        <w:rPr>
          <w:rFonts w:hint="eastAsia" w:ascii="宋体" w:hAnsi="宋体" w:eastAsia="宋体" w:cs="宋体"/>
          <w:kern w:val="1"/>
          <w:szCs w:val="21"/>
        </w:rPr>
        <w:t>（6）近期资产负债表：（到</w:t>
      </w:r>
      <w:r>
        <w:rPr>
          <w:rFonts w:hint="eastAsia" w:ascii="宋体" w:hAnsi="宋体" w:eastAsia="宋体" w:cs="宋体"/>
          <w:kern w:val="1"/>
          <w:szCs w:val="21"/>
          <w:u w:val="single"/>
        </w:rPr>
        <w:t>20  年12月31日</w:t>
      </w:r>
      <w:r>
        <w:rPr>
          <w:rFonts w:hint="eastAsia" w:ascii="宋体" w:hAnsi="宋体" w:eastAsia="宋体" w:cs="宋体"/>
          <w:kern w:val="1"/>
          <w:szCs w:val="21"/>
        </w:rPr>
        <w:t>）</w:t>
      </w:r>
    </w:p>
    <w:p w14:paraId="3485F3B9">
      <w:pPr>
        <w:keepNext w:val="0"/>
        <w:keepLines w:val="0"/>
        <w:pageBreakBefore w:val="0"/>
        <w:widowControl w:val="0"/>
        <w:kinsoku/>
        <w:wordWrap/>
        <w:overflowPunct/>
        <w:topLinePunct w:val="0"/>
        <w:autoSpaceDE/>
        <w:autoSpaceDN/>
        <w:bidi w:val="0"/>
        <w:spacing w:line="288" w:lineRule="auto"/>
        <w:ind w:firstLine="240"/>
        <w:rPr>
          <w:rFonts w:hint="eastAsia" w:ascii="宋体" w:hAnsi="宋体" w:eastAsia="宋体" w:cs="宋体"/>
          <w:kern w:val="1"/>
          <w:szCs w:val="21"/>
        </w:rPr>
      </w:pPr>
      <w:r>
        <w:rPr>
          <w:rFonts w:hint="eastAsia" w:ascii="宋体" w:hAnsi="宋体" w:eastAsia="宋体" w:cs="宋体"/>
          <w:kern w:val="1"/>
          <w:szCs w:val="21"/>
        </w:rPr>
        <w:t>&lt;1&gt; 固定资产：</w:t>
      </w:r>
      <w:r>
        <w:rPr>
          <w:rFonts w:hint="eastAsia" w:ascii="宋体" w:hAnsi="宋体" w:eastAsia="宋体" w:cs="宋体"/>
          <w:kern w:val="1"/>
          <w:szCs w:val="21"/>
          <w:u w:val="single"/>
        </w:rPr>
        <w:t xml:space="preserve">                          </w:t>
      </w:r>
    </w:p>
    <w:p w14:paraId="25545A8C">
      <w:pPr>
        <w:keepNext w:val="0"/>
        <w:keepLines w:val="0"/>
        <w:pageBreakBefore w:val="0"/>
        <w:widowControl w:val="0"/>
        <w:kinsoku/>
        <w:wordWrap/>
        <w:overflowPunct/>
        <w:topLinePunct w:val="0"/>
        <w:autoSpaceDE/>
        <w:autoSpaceDN/>
        <w:bidi w:val="0"/>
        <w:spacing w:line="288" w:lineRule="auto"/>
        <w:ind w:firstLine="240"/>
        <w:rPr>
          <w:rFonts w:hint="eastAsia" w:ascii="宋体" w:hAnsi="宋体" w:eastAsia="宋体" w:cs="宋体"/>
          <w:kern w:val="1"/>
          <w:szCs w:val="21"/>
        </w:rPr>
      </w:pPr>
      <w:r>
        <w:rPr>
          <w:rFonts w:hint="eastAsia" w:ascii="宋体" w:hAnsi="宋体" w:eastAsia="宋体" w:cs="宋体"/>
          <w:kern w:val="1"/>
          <w:szCs w:val="21"/>
        </w:rPr>
        <w:t>&lt;2&gt; 流动资金：</w:t>
      </w:r>
      <w:r>
        <w:rPr>
          <w:rFonts w:hint="eastAsia" w:ascii="宋体" w:hAnsi="宋体" w:eastAsia="宋体" w:cs="宋体"/>
          <w:kern w:val="1"/>
          <w:szCs w:val="21"/>
          <w:u w:val="single"/>
        </w:rPr>
        <w:t xml:space="preserve">                          </w:t>
      </w:r>
    </w:p>
    <w:p w14:paraId="722DF00C">
      <w:pPr>
        <w:keepNext w:val="0"/>
        <w:keepLines w:val="0"/>
        <w:pageBreakBefore w:val="0"/>
        <w:widowControl w:val="0"/>
        <w:kinsoku/>
        <w:wordWrap/>
        <w:overflowPunct/>
        <w:topLinePunct w:val="0"/>
        <w:autoSpaceDE/>
        <w:autoSpaceDN/>
        <w:bidi w:val="0"/>
        <w:spacing w:line="288" w:lineRule="auto"/>
        <w:ind w:firstLine="240"/>
        <w:rPr>
          <w:rFonts w:hint="eastAsia" w:ascii="宋体" w:hAnsi="宋体" w:eastAsia="宋体" w:cs="宋体"/>
          <w:kern w:val="1"/>
          <w:szCs w:val="21"/>
        </w:rPr>
      </w:pPr>
      <w:r>
        <w:rPr>
          <w:rFonts w:hint="eastAsia" w:ascii="宋体" w:hAnsi="宋体" w:eastAsia="宋体" w:cs="宋体"/>
          <w:kern w:val="1"/>
          <w:szCs w:val="21"/>
        </w:rPr>
        <w:t>&lt;3&gt; 长期负债：</w:t>
      </w:r>
      <w:r>
        <w:rPr>
          <w:rFonts w:hint="eastAsia" w:ascii="宋体" w:hAnsi="宋体" w:eastAsia="宋体" w:cs="宋体"/>
          <w:kern w:val="1"/>
          <w:szCs w:val="21"/>
          <w:u w:val="single"/>
        </w:rPr>
        <w:t xml:space="preserve">                          </w:t>
      </w:r>
    </w:p>
    <w:p w14:paraId="0FD64A66">
      <w:pPr>
        <w:keepNext w:val="0"/>
        <w:keepLines w:val="0"/>
        <w:pageBreakBefore w:val="0"/>
        <w:widowControl w:val="0"/>
        <w:kinsoku/>
        <w:wordWrap/>
        <w:overflowPunct/>
        <w:topLinePunct w:val="0"/>
        <w:autoSpaceDE/>
        <w:autoSpaceDN/>
        <w:bidi w:val="0"/>
        <w:spacing w:line="288" w:lineRule="auto"/>
        <w:ind w:firstLine="240"/>
        <w:rPr>
          <w:rFonts w:hint="eastAsia" w:ascii="宋体" w:hAnsi="宋体" w:eastAsia="宋体" w:cs="宋体"/>
          <w:kern w:val="1"/>
          <w:szCs w:val="21"/>
        </w:rPr>
      </w:pPr>
      <w:r>
        <w:rPr>
          <w:rFonts w:hint="eastAsia" w:ascii="宋体" w:hAnsi="宋体" w:eastAsia="宋体" w:cs="宋体"/>
          <w:kern w:val="1"/>
          <w:szCs w:val="21"/>
        </w:rPr>
        <w:t>&lt;4&gt; 短期负债：</w:t>
      </w:r>
      <w:r>
        <w:rPr>
          <w:rFonts w:hint="eastAsia" w:ascii="宋体" w:hAnsi="宋体" w:eastAsia="宋体" w:cs="宋体"/>
          <w:kern w:val="1"/>
          <w:szCs w:val="21"/>
          <w:u w:val="single"/>
        </w:rPr>
        <w:t xml:space="preserve">                          </w:t>
      </w:r>
    </w:p>
    <w:p w14:paraId="2BF50196">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kern w:val="1"/>
          <w:szCs w:val="21"/>
        </w:rPr>
      </w:pPr>
      <w:r>
        <w:rPr>
          <w:rFonts w:hint="eastAsia" w:ascii="宋体" w:hAnsi="宋体" w:eastAsia="宋体" w:cs="宋体"/>
          <w:kern w:val="1"/>
          <w:szCs w:val="21"/>
        </w:rPr>
        <w:t>2、近三年同类货物和服务的主要销售业绩（无有效联系人、联系方式和合同复印件的视为未填报本项目）：</w:t>
      </w:r>
    </w:p>
    <w:tbl>
      <w:tblPr>
        <w:tblStyle w:val="45"/>
        <w:tblW w:w="0" w:type="auto"/>
        <w:jc w:val="center"/>
        <w:tblLayout w:type="autofit"/>
        <w:tblCellMar>
          <w:top w:w="0" w:type="dxa"/>
          <w:left w:w="108" w:type="dxa"/>
          <w:bottom w:w="0" w:type="dxa"/>
          <w:right w:w="108" w:type="dxa"/>
        </w:tblCellMar>
      </w:tblPr>
      <w:tblGrid>
        <w:gridCol w:w="4271"/>
        <w:gridCol w:w="4251"/>
      </w:tblGrid>
      <w:tr w14:paraId="01CB3A58">
        <w:tblPrEx>
          <w:tblCellMar>
            <w:top w:w="0" w:type="dxa"/>
            <w:left w:w="108" w:type="dxa"/>
            <w:bottom w:w="0" w:type="dxa"/>
            <w:right w:w="108" w:type="dxa"/>
          </w:tblCellMar>
        </w:tblPrEx>
        <w:trPr>
          <w:trHeight w:val="0" w:hRule="atLeast"/>
          <w:jc w:val="center"/>
        </w:trPr>
        <w:tc>
          <w:tcPr>
            <w:tcW w:w="4271" w:type="dxa"/>
            <w:tcBorders>
              <w:top w:val="nil"/>
              <w:left w:val="nil"/>
              <w:bottom w:val="nil"/>
              <w:right w:val="nil"/>
            </w:tcBorders>
            <w:vAlign w:val="top"/>
          </w:tcPr>
          <w:p w14:paraId="226D0742">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kern w:val="1"/>
                <w:szCs w:val="21"/>
                <w:u w:val="single"/>
              </w:rPr>
            </w:pPr>
            <w:r>
              <w:rPr>
                <w:rFonts w:hint="eastAsia" w:ascii="宋体" w:hAnsi="宋体" w:eastAsia="宋体" w:cs="宋体"/>
                <w:kern w:val="1"/>
                <w:szCs w:val="21"/>
                <w:u w:val="single"/>
              </w:rPr>
              <w:t>甲方名称、联系人、联系方式</w:t>
            </w:r>
          </w:p>
        </w:tc>
        <w:tc>
          <w:tcPr>
            <w:tcW w:w="4251" w:type="dxa"/>
            <w:tcBorders>
              <w:top w:val="nil"/>
              <w:left w:val="nil"/>
              <w:bottom w:val="nil"/>
              <w:right w:val="nil"/>
            </w:tcBorders>
            <w:vAlign w:val="top"/>
          </w:tcPr>
          <w:p w14:paraId="08C68667">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kern w:val="1"/>
                <w:szCs w:val="21"/>
                <w:u w:val="single"/>
              </w:rPr>
            </w:pPr>
            <w:r>
              <w:rPr>
                <w:rFonts w:hint="eastAsia" w:ascii="宋体" w:hAnsi="宋体" w:eastAsia="宋体" w:cs="宋体"/>
                <w:kern w:val="1"/>
                <w:szCs w:val="21"/>
                <w:u w:val="single"/>
              </w:rPr>
              <w:t>项   目   名   称</w:t>
            </w:r>
          </w:p>
        </w:tc>
      </w:tr>
      <w:tr w14:paraId="23F67154">
        <w:tblPrEx>
          <w:tblCellMar>
            <w:top w:w="0" w:type="dxa"/>
            <w:left w:w="108" w:type="dxa"/>
            <w:bottom w:w="0" w:type="dxa"/>
            <w:right w:w="108" w:type="dxa"/>
          </w:tblCellMar>
        </w:tblPrEx>
        <w:trPr>
          <w:trHeight w:val="0" w:hRule="atLeast"/>
          <w:jc w:val="center"/>
        </w:trPr>
        <w:tc>
          <w:tcPr>
            <w:tcW w:w="4271" w:type="dxa"/>
            <w:tcBorders>
              <w:top w:val="nil"/>
              <w:left w:val="nil"/>
              <w:bottom w:val="nil"/>
              <w:right w:val="nil"/>
            </w:tcBorders>
            <w:vAlign w:val="top"/>
          </w:tcPr>
          <w:p w14:paraId="0B4BAFFC">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kern w:val="1"/>
                <w:szCs w:val="21"/>
              </w:rPr>
            </w:pPr>
            <w:r>
              <w:rPr>
                <w:rFonts w:hint="eastAsia" w:ascii="宋体" w:hAnsi="宋体" w:eastAsia="宋体" w:cs="宋体"/>
                <w:kern w:val="1"/>
                <w:szCs w:val="21"/>
                <w:u w:val="single"/>
              </w:rPr>
              <w:t xml:space="preserve">                                                    </w:t>
            </w:r>
          </w:p>
        </w:tc>
        <w:tc>
          <w:tcPr>
            <w:tcW w:w="4251" w:type="dxa"/>
            <w:tcBorders>
              <w:top w:val="nil"/>
              <w:left w:val="nil"/>
              <w:bottom w:val="nil"/>
              <w:right w:val="nil"/>
            </w:tcBorders>
            <w:vAlign w:val="top"/>
          </w:tcPr>
          <w:p w14:paraId="4D24A774">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kern w:val="1"/>
                <w:szCs w:val="21"/>
              </w:rPr>
            </w:pPr>
            <w:r>
              <w:rPr>
                <w:rFonts w:hint="eastAsia" w:ascii="宋体" w:hAnsi="宋体" w:eastAsia="宋体" w:cs="宋体"/>
                <w:kern w:val="1"/>
                <w:szCs w:val="21"/>
                <w:u w:val="single"/>
              </w:rPr>
              <w:t xml:space="preserve">                                          </w:t>
            </w:r>
          </w:p>
        </w:tc>
      </w:tr>
      <w:tr w14:paraId="289E3E70">
        <w:tblPrEx>
          <w:tblCellMar>
            <w:top w:w="0" w:type="dxa"/>
            <w:left w:w="108" w:type="dxa"/>
            <w:bottom w:w="0" w:type="dxa"/>
            <w:right w:w="108" w:type="dxa"/>
          </w:tblCellMar>
        </w:tblPrEx>
        <w:trPr>
          <w:trHeight w:val="0" w:hRule="atLeast"/>
          <w:jc w:val="center"/>
        </w:trPr>
        <w:tc>
          <w:tcPr>
            <w:tcW w:w="4271" w:type="dxa"/>
            <w:tcBorders>
              <w:top w:val="nil"/>
              <w:left w:val="nil"/>
              <w:bottom w:val="nil"/>
              <w:right w:val="nil"/>
            </w:tcBorders>
            <w:vAlign w:val="top"/>
          </w:tcPr>
          <w:p w14:paraId="71506401">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kern w:val="1"/>
                <w:szCs w:val="21"/>
              </w:rPr>
            </w:pPr>
            <w:r>
              <w:rPr>
                <w:rFonts w:hint="eastAsia" w:ascii="宋体" w:hAnsi="宋体" w:eastAsia="宋体" w:cs="宋体"/>
                <w:kern w:val="1"/>
                <w:szCs w:val="21"/>
                <w:u w:val="single"/>
              </w:rPr>
              <w:t xml:space="preserve">                                          </w:t>
            </w:r>
          </w:p>
        </w:tc>
        <w:tc>
          <w:tcPr>
            <w:tcW w:w="4251" w:type="dxa"/>
            <w:tcBorders>
              <w:top w:val="nil"/>
              <w:left w:val="nil"/>
              <w:bottom w:val="nil"/>
              <w:right w:val="nil"/>
            </w:tcBorders>
            <w:vAlign w:val="top"/>
          </w:tcPr>
          <w:p w14:paraId="770424E4">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kern w:val="1"/>
                <w:szCs w:val="21"/>
              </w:rPr>
            </w:pPr>
            <w:r>
              <w:rPr>
                <w:rFonts w:hint="eastAsia" w:ascii="宋体" w:hAnsi="宋体" w:eastAsia="宋体" w:cs="宋体"/>
                <w:kern w:val="1"/>
                <w:szCs w:val="21"/>
                <w:u w:val="single"/>
              </w:rPr>
              <w:t xml:space="preserve">                                          </w:t>
            </w:r>
          </w:p>
        </w:tc>
      </w:tr>
    </w:tbl>
    <w:p w14:paraId="68CF3F3D">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szCs w:val="21"/>
        </w:rPr>
      </w:pPr>
      <w:r>
        <w:rPr>
          <w:rFonts w:hint="eastAsia" w:ascii="宋体" w:hAnsi="宋体" w:eastAsia="宋体" w:cs="宋体"/>
          <w:szCs w:val="21"/>
        </w:rPr>
        <w:t xml:space="preserve">3、近三年的营业额： </w:t>
      </w:r>
    </w:p>
    <w:tbl>
      <w:tblPr>
        <w:tblStyle w:val="45"/>
        <w:tblW w:w="0" w:type="auto"/>
        <w:jc w:val="center"/>
        <w:tblLayout w:type="fixed"/>
        <w:tblCellMar>
          <w:top w:w="0" w:type="dxa"/>
          <w:left w:w="108" w:type="dxa"/>
          <w:bottom w:w="0" w:type="dxa"/>
          <w:right w:w="108" w:type="dxa"/>
        </w:tblCellMar>
      </w:tblPr>
      <w:tblGrid>
        <w:gridCol w:w="2321"/>
        <w:gridCol w:w="2322"/>
        <w:gridCol w:w="2321"/>
        <w:gridCol w:w="2322"/>
      </w:tblGrid>
      <w:tr w14:paraId="0128C21E">
        <w:tblPrEx>
          <w:tblCellMar>
            <w:top w:w="0" w:type="dxa"/>
            <w:left w:w="108" w:type="dxa"/>
            <w:bottom w:w="0" w:type="dxa"/>
            <w:right w:w="108" w:type="dxa"/>
          </w:tblCellMar>
        </w:tblPrEx>
        <w:trPr>
          <w:trHeight w:val="0" w:hRule="atLeast"/>
          <w:jc w:val="center"/>
        </w:trPr>
        <w:tc>
          <w:tcPr>
            <w:tcW w:w="2321" w:type="dxa"/>
            <w:tcBorders>
              <w:top w:val="nil"/>
              <w:left w:val="nil"/>
              <w:bottom w:val="nil"/>
              <w:right w:val="nil"/>
            </w:tcBorders>
            <w:vAlign w:val="top"/>
          </w:tcPr>
          <w:p w14:paraId="1CAB5EBC">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szCs w:val="21"/>
              </w:rPr>
            </w:pPr>
            <w:r>
              <w:rPr>
                <w:rFonts w:hint="eastAsia" w:ascii="宋体" w:hAnsi="宋体" w:eastAsia="宋体" w:cs="宋体"/>
                <w:szCs w:val="21"/>
              </w:rPr>
              <w:t>年    份</w:t>
            </w:r>
          </w:p>
        </w:tc>
        <w:tc>
          <w:tcPr>
            <w:tcW w:w="2322" w:type="dxa"/>
            <w:tcBorders>
              <w:top w:val="nil"/>
              <w:left w:val="nil"/>
              <w:bottom w:val="nil"/>
              <w:right w:val="nil"/>
            </w:tcBorders>
            <w:vAlign w:val="top"/>
          </w:tcPr>
          <w:p w14:paraId="51F75680">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szCs w:val="21"/>
              </w:rPr>
            </w:pPr>
            <w:r>
              <w:rPr>
                <w:rFonts w:hint="eastAsia" w:ascii="宋体" w:hAnsi="宋体" w:eastAsia="宋体" w:cs="宋体"/>
                <w:szCs w:val="21"/>
              </w:rPr>
              <w:t>国    内（万元）</w:t>
            </w:r>
          </w:p>
        </w:tc>
        <w:tc>
          <w:tcPr>
            <w:tcW w:w="2321" w:type="dxa"/>
            <w:tcBorders>
              <w:top w:val="nil"/>
              <w:left w:val="nil"/>
              <w:bottom w:val="nil"/>
              <w:right w:val="nil"/>
            </w:tcBorders>
            <w:vAlign w:val="top"/>
          </w:tcPr>
          <w:p w14:paraId="3A712FC7">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szCs w:val="21"/>
              </w:rPr>
            </w:pPr>
            <w:r>
              <w:rPr>
                <w:rFonts w:hint="eastAsia" w:ascii="宋体" w:hAnsi="宋体" w:eastAsia="宋体" w:cs="宋体"/>
                <w:szCs w:val="21"/>
              </w:rPr>
              <w:t>出    口（万元）</w:t>
            </w:r>
          </w:p>
        </w:tc>
        <w:tc>
          <w:tcPr>
            <w:tcW w:w="2322" w:type="dxa"/>
            <w:tcBorders>
              <w:top w:val="nil"/>
              <w:left w:val="nil"/>
              <w:bottom w:val="nil"/>
              <w:right w:val="nil"/>
            </w:tcBorders>
            <w:vAlign w:val="top"/>
          </w:tcPr>
          <w:p w14:paraId="6ACBE958">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szCs w:val="21"/>
              </w:rPr>
            </w:pPr>
            <w:r>
              <w:rPr>
                <w:rFonts w:hint="eastAsia" w:ascii="宋体" w:hAnsi="宋体" w:eastAsia="宋体" w:cs="宋体"/>
                <w:szCs w:val="21"/>
              </w:rPr>
              <w:t>总    额（万元）</w:t>
            </w:r>
          </w:p>
        </w:tc>
      </w:tr>
      <w:tr w14:paraId="403B1739">
        <w:tblPrEx>
          <w:tblCellMar>
            <w:top w:w="0" w:type="dxa"/>
            <w:left w:w="108" w:type="dxa"/>
            <w:bottom w:w="0" w:type="dxa"/>
            <w:right w:w="108" w:type="dxa"/>
          </w:tblCellMar>
        </w:tblPrEx>
        <w:trPr>
          <w:trHeight w:val="0" w:hRule="atLeast"/>
          <w:jc w:val="center"/>
        </w:trPr>
        <w:tc>
          <w:tcPr>
            <w:tcW w:w="2321" w:type="dxa"/>
            <w:tcBorders>
              <w:top w:val="nil"/>
              <w:left w:val="nil"/>
              <w:bottom w:val="nil"/>
              <w:right w:val="nil"/>
            </w:tcBorders>
            <w:vAlign w:val="top"/>
          </w:tcPr>
          <w:p w14:paraId="097572DC">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szCs w:val="21"/>
              </w:rPr>
            </w:pPr>
            <w:r>
              <w:rPr>
                <w:rFonts w:hint="eastAsia" w:ascii="宋体" w:hAnsi="宋体" w:eastAsia="宋体" w:cs="宋体"/>
                <w:szCs w:val="21"/>
              </w:rPr>
              <w:t xml:space="preserve">    年</w:t>
            </w:r>
          </w:p>
        </w:tc>
        <w:tc>
          <w:tcPr>
            <w:tcW w:w="2322" w:type="dxa"/>
            <w:tcBorders>
              <w:top w:val="nil"/>
              <w:left w:val="nil"/>
              <w:bottom w:val="nil"/>
              <w:right w:val="nil"/>
            </w:tcBorders>
            <w:vAlign w:val="top"/>
          </w:tcPr>
          <w:p w14:paraId="317F5D9C">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szCs w:val="21"/>
              </w:rPr>
            </w:pPr>
          </w:p>
        </w:tc>
        <w:tc>
          <w:tcPr>
            <w:tcW w:w="2321" w:type="dxa"/>
            <w:tcBorders>
              <w:top w:val="nil"/>
              <w:left w:val="nil"/>
              <w:bottom w:val="nil"/>
              <w:right w:val="nil"/>
            </w:tcBorders>
            <w:vAlign w:val="top"/>
          </w:tcPr>
          <w:p w14:paraId="6B15FF58">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szCs w:val="21"/>
              </w:rPr>
            </w:pPr>
          </w:p>
        </w:tc>
        <w:tc>
          <w:tcPr>
            <w:tcW w:w="2322" w:type="dxa"/>
            <w:tcBorders>
              <w:top w:val="nil"/>
              <w:left w:val="nil"/>
              <w:bottom w:val="nil"/>
              <w:right w:val="nil"/>
            </w:tcBorders>
            <w:vAlign w:val="top"/>
          </w:tcPr>
          <w:p w14:paraId="1317881F">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szCs w:val="21"/>
              </w:rPr>
            </w:pPr>
          </w:p>
        </w:tc>
      </w:tr>
      <w:tr w14:paraId="7E5A13EB">
        <w:tblPrEx>
          <w:tblCellMar>
            <w:top w:w="0" w:type="dxa"/>
            <w:left w:w="108" w:type="dxa"/>
            <w:bottom w:w="0" w:type="dxa"/>
            <w:right w:w="108" w:type="dxa"/>
          </w:tblCellMar>
        </w:tblPrEx>
        <w:trPr>
          <w:trHeight w:val="0" w:hRule="atLeast"/>
          <w:jc w:val="center"/>
        </w:trPr>
        <w:tc>
          <w:tcPr>
            <w:tcW w:w="2321" w:type="dxa"/>
            <w:tcBorders>
              <w:top w:val="nil"/>
              <w:left w:val="nil"/>
              <w:bottom w:val="nil"/>
              <w:right w:val="nil"/>
            </w:tcBorders>
            <w:vAlign w:val="top"/>
          </w:tcPr>
          <w:p w14:paraId="406CF8B2">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szCs w:val="21"/>
              </w:rPr>
            </w:pPr>
            <w:r>
              <w:rPr>
                <w:rFonts w:hint="eastAsia" w:ascii="宋体" w:hAnsi="宋体" w:eastAsia="宋体" w:cs="宋体"/>
                <w:szCs w:val="21"/>
              </w:rPr>
              <w:t xml:space="preserve">    年</w:t>
            </w:r>
          </w:p>
        </w:tc>
        <w:tc>
          <w:tcPr>
            <w:tcW w:w="2322" w:type="dxa"/>
            <w:tcBorders>
              <w:top w:val="nil"/>
              <w:left w:val="nil"/>
              <w:bottom w:val="nil"/>
              <w:right w:val="nil"/>
            </w:tcBorders>
            <w:vAlign w:val="top"/>
          </w:tcPr>
          <w:p w14:paraId="694019D9">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szCs w:val="21"/>
              </w:rPr>
            </w:pPr>
          </w:p>
        </w:tc>
        <w:tc>
          <w:tcPr>
            <w:tcW w:w="2321" w:type="dxa"/>
            <w:tcBorders>
              <w:top w:val="nil"/>
              <w:left w:val="nil"/>
              <w:bottom w:val="nil"/>
              <w:right w:val="nil"/>
            </w:tcBorders>
            <w:vAlign w:val="top"/>
          </w:tcPr>
          <w:p w14:paraId="6827C056">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szCs w:val="21"/>
              </w:rPr>
            </w:pPr>
          </w:p>
        </w:tc>
        <w:tc>
          <w:tcPr>
            <w:tcW w:w="2322" w:type="dxa"/>
            <w:tcBorders>
              <w:top w:val="nil"/>
              <w:left w:val="nil"/>
              <w:bottom w:val="nil"/>
              <w:right w:val="nil"/>
            </w:tcBorders>
            <w:vAlign w:val="top"/>
          </w:tcPr>
          <w:p w14:paraId="2713EB47">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szCs w:val="21"/>
              </w:rPr>
            </w:pPr>
          </w:p>
        </w:tc>
      </w:tr>
      <w:tr w14:paraId="2D148C84">
        <w:tblPrEx>
          <w:tblCellMar>
            <w:top w:w="0" w:type="dxa"/>
            <w:left w:w="108" w:type="dxa"/>
            <w:bottom w:w="0" w:type="dxa"/>
            <w:right w:w="108" w:type="dxa"/>
          </w:tblCellMar>
        </w:tblPrEx>
        <w:trPr>
          <w:trHeight w:val="0" w:hRule="atLeast"/>
          <w:jc w:val="center"/>
        </w:trPr>
        <w:tc>
          <w:tcPr>
            <w:tcW w:w="2321" w:type="dxa"/>
            <w:tcBorders>
              <w:top w:val="nil"/>
              <w:left w:val="nil"/>
              <w:bottom w:val="nil"/>
              <w:right w:val="nil"/>
            </w:tcBorders>
            <w:vAlign w:val="top"/>
          </w:tcPr>
          <w:p w14:paraId="2F706678">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center"/>
              <w:rPr>
                <w:rFonts w:hint="eastAsia" w:ascii="宋体" w:hAnsi="宋体" w:eastAsia="宋体" w:cs="宋体"/>
                <w:szCs w:val="21"/>
              </w:rPr>
            </w:pPr>
            <w:r>
              <w:rPr>
                <w:rFonts w:hint="eastAsia" w:ascii="宋体" w:hAnsi="宋体" w:eastAsia="宋体" w:cs="宋体"/>
                <w:szCs w:val="21"/>
              </w:rPr>
              <w:t xml:space="preserve">    年</w:t>
            </w:r>
          </w:p>
        </w:tc>
        <w:tc>
          <w:tcPr>
            <w:tcW w:w="2322" w:type="dxa"/>
            <w:tcBorders>
              <w:top w:val="nil"/>
              <w:left w:val="nil"/>
              <w:bottom w:val="nil"/>
              <w:right w:val="nil"/>
            </w:tcBorders>
            <w:vAlign w:val="top"/>
          </w:tcPr>
          <w:p w14:paraId="3179C4AB">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szCs w:val="21"/>
              </w:rPr>
            </w:pPr>
          </w:p>
        </w:tc>
        <w:tc>
          <w:tcPr>
            <w:tcW w:w="2321" w:type="dxa"/>
            <w:tcBorders>
              <w:top w:val="nil"/>
              <w:left w:val="nil"/>
              <w:bottom w:val="nil"/>
              <w:right w:val="nil"/>
            </w:tcBorders>
            <w:vAlign w:val="top"/>
          </w:tcPr>
          <w:p w14:paraId="55729E50">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szCs w:val="21"/>
              </w:rPr>
            </w:pPr>
          </w:p>
        </w:tc>
        <w:tc>
          <w:tcPr>
            <w:tcW w:w="2322" w:type="dxa"/>
            <w:tcBorders>
              <w:top w:val="nil"/>
              <w:left w:val="nil"/>
              <w:bottom w:val="nil"/>
              <w:right w:val="nil"/>
            </w:tcBorders>
            <w:vAlign w:val="top"/>
          </w:tcPr>
          <w:p w14:paraId="6075C076">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rPr>
                <w:rFonts w:hint="eastAsia" w:ascii="宋体" w:hAnsi="宋体" w:eastAsia="宋体" w:cs="宋体"/>
                <w:szCs w:val="21"/>
              </w:rPr>
            </w:pPr>
          </w:p>
        </w:tc>
      </w:tr>
    </w:tbl>
    <w:p w14:paraId="37E57DB0">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szCs w:val="21"/>
        </w:rPr>
      </w:pPr>
    </w:p>
    <w:p w14:paraId="6A9B0DFB">
      <w:pPr>
        <w:keepNext w:val="0"/>
        <w:keepLines w:val="0"/>
        <w:pageBreakBefore w:val="0"/>
        <w:widowControl w:val="0"/>
        <w:kinsoku/>
        <w:wordWrap/>
        <w:overflowPunct/>
        <w:topLinePunct w:val="0"/>
        <w:autoSpaceDE/>
        <w:autoSpaceDN/>
        <w:bidi w:val="0"/>
        <w:spacing w:line="288" w:lineRule="auto"/>
        <w:ind w:hanging="410"/>
        <w:rPr>
          <w:rFonts w:hint="eastAsia" w:ascii="宋体" w:hAnsi="宋体" w:eastAsia="宋体" w:cs="宋体"/>
          <w:szCs w:val="21"/>
        </w:rPr>
      </w:pPr>
      <w:r>
        <w:rPr>
          <w:rFonts w:hint="eastAsia" w:ascii="宋体" w:hAnsi="宋体" w:eastAsia="宋体" w:cs="宋体"/>
          <w:szCs w:val="21"/>
        </w:rPr>
        <w:t>4、本次采购要求的其他资格文件以及供应商认为需要声明的其他情况：</w:t>
      </w:r>
      <w:r>
        <w:rPr>
          <w:rFonts w:hint="eastAsia" w:ascii="宋体" w:hAnsi="宋体" w:eastAsia="宋体" w:cs="宋体"/>
          <w:szCs w:val="21"/>
          <w:u w:val="single"/>
        </w:rPr>
        <w:t xml:space="preserve">                         </w:t>
      </w:r>
    </w:p>
    <w:p w14:paraId="5547DCFE">
      <w:pPr>
        <w:keepNext w:val="0"/>
        <w:keepLines w:val="0"/>
        <w:pageBreakBefore w:val="0"/>
        <w:widowControl w:val="0"/>
        <w:kinsoku/>
        <w:wordWrap/>
        <w:overflowPunct/>
        <w:topLinePunct w:val="0"/>
        <w:autoSpaceDE/>
        <w:autoSpaceDN/>
        <w:bidi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兹证明上述声明是真实的、正确的，并提供了全部能提供的资料和数据，我们同意遵照贵方要求出示有关证明文件，如有虚假，自愿丧失中标资格，一年内退出扬州采购市场。</w:t>
      </w:r>
    </w:p>
    <w:p w14:paraId="54D51EF4">
      <w:pPr>
        <w:keepNext w:val="0"/>
        <w:keepLines w:val="0"/>
        <w:pageBreakBefore w:val="0"/>
        <w:widowControl w:val="0"/>
        <w:kinsoku/>
        <w:wordWrap/>
        <w:overflowPunct/>
        <w:topLinePunct w:val="0"/>
        <w:autoSpaceDE/>
        <w:autoSpaceDN/>
        <w:bidi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14:paraId="73EE6340">
      <w:pPr>
        <w:keepNext w:val="0"/>
        <w:keepLines w:val="0"/>
        <w:pageBreakBefore w:val="0"/>
        <w:widowControl w:val="0"/>
        <w:kinsoku/>
        <w:wordWrap/>
        <w:overflowPunct/>
        <w:topLinePunct w:val="0"/>
        <w:autoSpaceDE/>
        <w:autoSpaceDN/>
        <w:bidi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法定代表人或授权代表签字：</w:t>
      </w:r>
      <w:r>
        <w:rPr>
          <w:rFonts w:hint="eastAsia" w:ascii="宋体" w:hAnsi="宋体" w:eastAsia="宋体" w:cs="宋体"/>
          <w:szCs w:val="21"/>
          <w:u w:val="single"/>
        </w:rPr>
        <w:t xml:space="preserve">                          </w:t>
      </w:r>
    </w:p>
    <w:p w14:paraId="35C8310B">
      <w:pPr>
        <w:keepNext w:val="0"/>
        <w:keepLines w:val="0"/>
        <w:pageBreakBefore w:val="0"/>
        <w:widowControl w:val="0"/>
        <w:kinsoku/>
        <w:wordWrap/>
        <w:overflowPunct/>
        <w:topLinePunct w:val="0"/>
        <w:autoSpaceDE/>
        <w:autoSpaceDN/>
        <w:bidi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日        </w:t>
      </w:r>
    </w:p>
    <w:p w14:paraId="2A351172">
      <w:pPr>
        <w:keepNext w:val="0"/>
        <w:keepLines w:val="0"/>
        <w:pageBreakBefore w:val="0"/>
        <w:widowControl w:val="0"/>
        <w:kinsoku/>
        <w:wordWrap/>
        <w:overflowPunct/>
        <w:topLinePunct w:val="0"/>
        <w:autoSpaceDE/>
        <w:autoSpaceDN/>
        <w:bidi w:val="0"/>
        <w:spacing w:line="288" w:lineRule="auto"/>
        <w:ind w:firstLine="420"/>
        <w:rPr>
          <w:rFonts w:hint="eastAsia" w:ascii="宋体" w:hAnsi="宋体" w:eastAsia="宋体" w:cs="宋体"/>
          <w:kern w:val="1"/>
          <w:szCs w:val="21"/>
        </w:rPr>
      </w:pPr>
      <w:r>
        <w:rPr>
          <w:rFonts w:hint="eastAsia" w:ascii="宋体" w:hAnsi="宋体" w:eastAsia="宋体" w:cs="宋体"/>
          <w:b/>
          <w:bCs/>
          <w:szCs w:val="21"/>
        </w:rPr>
        <w:t>（注：资格声明为格式文件,实质性内容请勿修改，否则将导致投标文件无效）</w:t>
      </w:r>
      <w:r>
        <w:rPr>
          <w:rFonts w:hint="eastAsia" w:ascii="宋体" w:hAnsi="宋体" w:eastAsia="宋体" w:cs="宋体"/>
          <w:kern w:val="1"/>
          <w:szCs w:val="21"/>
        </w:rPr>
        <w:t xml:space="preserve"> </w:t>
      </w:r>
    </w:p>
    <w:p w14:paraId="2DEC729E">
      <w:pPr>
        <w:keepNext w:val="0"/>
        <w:keepLines w:val="0"/>
        <w:pageBreakBefore w:val="0"/>
        <w:widowControl w:val="0"/>
        <w:kinsoku/>
        <w:wordWrap/>
        <w:overflowPunct/>
        <w:topLinePunct w:val="0"/>
        <w:autoSpaceDE/>
        <w:autoSpaceDN/>
        <w:bidi w:val="0"/>
        <w:spacing w:line="288" w:lineRule="auto"/>
        <w:ind w:firstLine="420"/>
        <w:rPr>
          <w:rFonts w:hint="eastAsia" w:ascii="宋体" w:hAnsi="宋体" w:eastAsia="宋体" w:cs="宋体"/>
          <w:kern w:val="1"/>
          <w:szCs w:val="21"/>
        </w:rPr>
      </w:pPr>
      <w:r>
        <w:rPr>
          <w:rFonts w:hint="eastAsia" w:ascii="宋体" w:hAnsi="宋体" w:eastAsia="宋体" w:cs="宋体"/>
          <w:kern w:val="1"/>
          <w:szCs w:val="21"/>
        </w:rPr>
        <w:br w:type="page"/>
      </w:r>
    </w:p>
    <w:p w14:paraId="74715917">
      <w:pPr>
        <w:spacing w:line="360" w:lineRule="auto"/>
        <w:jc w:val="center"/>
        <w:rPr>
          <w:rFonts w:hint="eastAsia" w:ascii="宋体" w:hAnsi="宋体" w:eastAsia="宋体" w:cs="宋体"/>
          <w:b/>
          <w:kern w:val="1"/>
          <w:szCs w:val="21"/>
        </w:rPr>
      </w:pPr>
      <w:r>
        <w:rPr>
          <w:rFonts w:hint="eastAsia" w:ascii="宋体" w:hAnsi="宋体" w:eastAsia="宋体" w:cs="宋体"/>
          <w:b/>
          <w:kern w:val="1"/>
          <w:szCs w:val="21"/>
        </w:rPr>
        <w:t>法人授权书</w:t>
      </w:r>
    </w:p>
    <w:p w14:paraId="1E594B0B">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 xml:space="preserve">本授权书声明：______（供应商名称）授权____（被授权人的姓名）为我方就 </w:t>
      </w:r>
      <w:r>
        <w:rPr>
          <w:rFonts w:hint="eastAsia" w:ascii="宋体" w:hAnsi="宋体" w:eastAsia="宋体" w:cs="宋体"/>
          <w:sz w:val="21"/>
          <w:szCs w:val="21"/>
          <w:u w:val="single"/>
        </w:rPr>
        <w:t xml:space="preserve">   </w:t>
      </w:r>
      <w:r>
        <w:rPr>
          <w:rFonts w:hint="eastAsia" w:ascii="宋体" w:hAnsi="宋体" w:eastAsia="宋体" w:cs="宋体"/>
          <w:sz w:val="21"/>
          <w:szCs w:val="21"/>
        </w:rPr>
        <w:t>号项目采购活动的合法代理人，以本公司名义全权处理一切与该项目采购有关的事务。</w:t>
      </w:r>
    </w:p>
    <w:p w14:paraId="2622B9B8">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本授权书于______年____月____日起生效，特此声明。</w:t>
      </w:r>
    </w:p>
    <w:p w14:paraId="55BF3EA6">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 xml:space="preserve">   </w:t>
      </w:r>
    </w:p>
    <w:p w14:paraId="635FA9FA">
      <w:pPr>
        <w:pStyle w:val="109"/>
        <w:tabs>
          <w:tab w:val="clear" w:pos="360"/>
        </w:tabs>
        <w:spacing w:line="360" w:lineRule="auto"/>
        <w:ind w:firstLine="630"/>
        <w:rPr>
          <w:rFonts w:hint="eastAsia" w:ascii="宋体" w:hAnsi="宋体" w:eastAsia="宋体" w:cs="宋体"/>
          <w:sz w:val="21"/>
          <w:szCs w:val="21"/>
        </w:rPr>
      </w:pPr>
      <w:r>
        <w:rPr>
          <w:rFonts w:hint="eastAsia" w:ascii="宋体" w:hAnsi="宋体" w:eastAsia="宋体" w:cs="宋体"/>
          <w:sz w:val="21"/>
          <w:szCs w:val="21"/>
        </w:rPr>
        <w:t xml:space="preserve"> 代理人（被授权人）：____________________________</w:t>
      </w:r>
    </w:p>
    <w:p w14:paraId="2F18C281">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 xml:space="preserve">    单位名称：_____________________________________</w:t>
      </w:r>
    </w:p>
    <w:p w14:paraId="4E1ABF6D">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 xml:space="preserve">    授权单位盖章：_________________________________</w:t>
      </w:r>
    </w:p>
    <w:p w14:paraId="7E5225FC">
      <w:pPr>
        <w:pStyle w:val="109"/>
        <w:tabs>
          <w:tab w:val="clear" w:pos="360"/>
        </w:tabs>
        <w:spacing w:line="360" w:lineRule="auto"/>
        <w:ind w:firstLine="840"/>
        <w:rPr>
          <w:rFonts w:hint="eastAsia" w:ascii="宋体" w:hAnsi="宋体" w:eastAsia="宋体" w:cs="宋体"/>
          <w:sz w:val="21"/>
          <w:szCs w:val="21"/>
        </w:rPr>
      </w:pPr>
      <w:r>
        <w:rPr>
          <w:rFonts w:hint="eastAsia" w:ascii="宋体" w:hAnsi="宋体" w:eastAsia="宋体" w:cs="宋体"/>
          <w:sz w:val="21"/>
          <w:szCs w:val="21"/>
        </w:rPr>
        <w:t>单位名称：_____________________________________</w:t>
      </w:r>
    </w:p>
    <w:p w14:paraId="2894842D">
      <w:pPr>
        <w:pStyle w:val="109"/>
        <w:tabs>
          <w:tab w:val="clear" w:pos="360"/>
        </w:tabs>
        <w:spacing w:line="360" w:lineRule="auto"/>
        <w:ind w:firstLine="840"/>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14:paraId="5664A602">
      <w:pPr>
        <w:pStyle w:val="109"/>
        <w:tabs>
          <w:tab w:val="clear" w:pos="360"/>
        </w:tabs>
        <w:spacing w:line="360" w:lineRule="auto"/>
        <w:ind w:firstLine="840"/>
        <w:rPr>
          <w:rFonts w:hint="eastAsia" w:ascii="宋体" w:hAnsi="宋体" w:eastAsia="宋体" w:cs="宋体"/>
          <w:sz w:val="21"/>
          <w:szCs w:val="21"/>
        </w:rPr>
      </w:pPr>
      <w:r>
        <w:rPr>
          <w:rFonts w:hint="eastAsia" w:ascii="宋体" w:hAnsi="宋体" w:eastAsia="宋体" w:cs="宋体"/>
          <w:sz w:val="21"/>
          <w:szCs w:val="21"/>
        </w:rPr>
        <w:t>日期：</w:t>
      </w:r>
      <w:bookmarkStart w:id="143" w:name="_Hlt26955070"/>
      <w:bookmarkEnd w:id="143"/>
      <w:bookmarkStart w:id="144" w:name="_格式3__银行出具的资信证明"/>
      <w:bookmarkEnd w:id="144"/>
      <w:bookmarkStart w:id="145" w:name="_Hlt26671380"/>
      <w:bookmarkEnd w:id="145"/>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5233214">
      <w:pPr>
        <w:spacing w:line="360" w:lineRule="auto"/>
        <w:rPr>
          <w:rFonts w:hint="eastAsia" w:ascii="宋体" w:hAnsi="宋体" w:eastAsia="宋体" w:cs="宋体"/>
          <w:kern w:val="1"/>
          <w:sz w:val="24"/>
        </w:rPr>
      </w:pPr>
    </w:p>
    <w:p w14:paraId="50A480CF">
      <w:pP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被授权人身份证正反面复印件：</w:t>
      </w:r>
    </w:p>
    <w:p w14:paraId="5E6B35DE">
      <w:pPr>
        <w:spacing w:line="360" w:lineRule="auto"/>
        <w:jc w:val="center"/>
        <w:rPr>
          <w:rFonts w:hint="eastAsia" w:ascii="宋体" w:hAnsi="宋体" w:eastAsia="宋体" w:cs="宋体"/>
          <w:b/>
          <w:kern w:val="1"/>
          <w:szCs w:val="21"/>
        </w:rPr>
      </w:pPr>
      <w:r>
        <w:rPr>
          <w:rFonts w:hint="eastAsia" w:ascii="宋体" w:hAnsi="宋体" w:eastAsia="宋体" w:cs="宋体"/>
          <w:kern w:val="1"/>
          <w:sz w:val="24"/>
        </w:rPr>
        <w:br w:type="page"/>
      </w:r>
      <w:r>
        <w:rPr>
          <w:rFonts w:hint="eastAsia" w:ascii="宋体" w:hAnsi="宋体" w:eastAsia="宋体" w:cs="宋体"/>
          <w:b/>
          <w:kern w:val="1"/>
          <w:szCs w:val="21"/>
        </w:rPr>
        <w:t>参加采购活动前3年内在经营活动中没有重大违法记录的书面声明</w:t>
      </w:r>
    </w:p>
    <w:p w14:paraId="40ED49D9">
      <w:pPr>
        <w:spacing w:line="360" w:lineRule="auto"/>
        <w:jc w:val="center"/>
        <w:rPr>
          <w:rFonts w:hint="eastAsia" w:ascii="宋体" w:hAnsi="宋体" w:eastAsia="宋体" w:cs="宋体"/>
          <w:b/>
          <w:kern w:val="1"/>
          <w:szCs w:val="21"/>
        </w:rPr>
      </w:pPr>
      <w:r>
        <w:rPr>
          <w:rFonts w:hint="eastAsia" w:ascii="宋体" w:hAnsi="宋体" w:eastAsia="宋体" w:cs="宋体"/>
          <w:b/>
          <w:kern w:val="1"/>
          <w:szCs w:val="21"/>
        </w:rPr>
        <w:t>声  明</w:t>
      </w:r>
    </w:p>
    <w:p w14:paraId="2F618DCD">
      <w:pPr>
        <w:spacing w:line="360" w:lineRule="auto"/>
        <w:rPr>
          <w:rFonts w:hint="eastAsia" w:ascii="宋体" w:hAnsi="宋体" w:eastAsia="宋体" w:cs="宋体"/>
          <w:kern w:val="1"/>
          <w:szCs w:val="21"/>
        </w:rPr>
      </w:pPr>
      <w:r>
        <w:rPr>
          <w:rFonts w:hint="eastAsia" w:ascii="宋体" w:hAnsi="宋体" w:eastAsia="宋体" w:cs="宋体"/>
          <w:b/>
          <w:kern w:val="1"/>
          <w:szCs w:val="21"/>
        </w:rPr>
        <w:t xml:space="preserve">   </w:t>
      </w:r>
      <w:r>
        <w:rPr>
          <w:rFonts w:hint="eastAsia" w:ascii="宋体" w:hAnsi="宋体" w:eastAsia="宋体" w:cs="宋体"/>
          <w:kern w:val="1"/>
          <w:szCs w:val="21"/>
        </w:rPr>
        <w:t xml:space="preserve"> 我公司郑重声明：参加本次采购活动前3年内，我公司在经营活动中没有因违法经营受到刑事处罚或者责令停产停业、吊销许可证或者执照</w:t>
      </w:r>
      <w:r>
        <w:rPr>
          <w:rFonts w:hint="eastAsia" w:ascii="宋体" w:hAnsi="宋体" w:eastAsia="宋体" w:cs="宋体"/>
          <w:kern w:val="1"/>
          <w:szCs w:val="21"/>
          <w:lang w:val="en-US" w:eastAsia="zh-CN"/>
        </w:rPr>
        <w:t>的</w:t>
      </w:r>
      <w:r>
        <w:rPr>
          <w:rFonts w:hint="eastAsia" w:ascii="宋体" w:hAnsi="宋体" w:eastAsia="宋体" w:cs="宋体"/>
          <w:kern w:val="1"/>
          <w:szCs w:val="21"/>
        </w:rPr>
        <w:t>行政处罚。</w:t>
      </w:r>
    </w:p>
    <w:p w14:paraId="258CFBFD">
      <w:pPr>
        <w:spacing w:line="360" w:lineRule="auto"/>
        <w:ind w:firstLine="4410" w:firstLineChars="2100"/>
        <w:rPr>
          <w:rFonts w:hint="eastAsia" w:ascii="宋体" w:hAnsi="宋体" w:eastAsia="宋体" w:cs="宋体"/>
          <w:kern w:val="1"/>
          <w:szCs w:val="21"/>
        </w:rPr>
      </w:pPr>
      <w:r>
        <w:rPr>
          <w:rFonts w:hint="eastAsia" w:ascii="宋体" w:hAnsi="宋体" w:eastAsia="宋体" w:cs="宋体"/>
          <w:kern w:val="1"/>
          <w:szCs w:val="21"/>
        </w:rPr>
        <w:t xml:space="preserve">                                    </w:t>
      </w:r>
    </w:p>
    <w:p w14:paraId="396DE700">
      <w:pPr>
        <w:spacing w:line="360" w:lineRule="auto"/>
        <w:ind w:firstLine="4410" w:firstLineChars="2100"/>
        <w:rPr>
          <w:rFonts w:hint="eastAsia" w:ascii="宋体" w:hAnsi="宋体" w:eastAsia="宋体" w:cs="宋体"/>
          <w:bCs/>
          <w:szCs w:val="21"/>
        </w:rPr>
      </w:pPr>
      <w:r>
        <w:rPr>
          <w:rFonts w:hint="eastAsia" w:ascii="宋体" w:hAnsi="宋体" w:eastAsia="宋体" w:cs="宋体"/>
          <w:bCs/>
          <w:szCs w:val="21"/>
        </w:rPr>
        <w:t>供应商名称（公章）：</w:t>
      </w:r>
    </w:p>
    <w:p w14:paraId="0F8144C2">
      <w:pPr>
        <w:spacing w:line="360" w:lineRule="auto"/>
        <w:rPr>
          <w:rFonts w:hint="eastAsia" w:ascii="宋体" w:hAnsi="宋体" w:eastAsia="宋体" w:cs="宋体"/>
          <w:bCs/>
          <w:szCs w:val="21"/>
        </w:rPr>
      </w:pPr>
      <w:r>
        <w:rPr>
          <w:rFonts w:hint="eastAsia" w:ascii="宋体" w:hAnsi="宋体" w:eastAsia="宋体" w:cs="宋体"/>
          <w:bCs/>
          <w:szCs w:val="21"/>
        </w:rPr>
        <w:t xml:space="preserve">                                          法定代表人或授权代表签字：______</w:t>
      </w:r>
    </w:p>
    <w:p w14:paraId="1DF3C52F">
      <w:pPr>
        <w:spacing w:line="360" w:lineRule="auto"/>
        <w:rPr>
          <w:rFonts w:hint="eastAsia" w:ascii="宋体" w:hAnsi="宋体" w:eastAsia="宋体" w:cs="宋体"/>
          <w:kern w:val="1"/>
          <w:szCs w:val="21"/>
        </w:rPr>
      </w:pPr>
      <w:r>
        <w:rPr>
          <w:rFonts w:hint="eastAsia" w:ascii="宋体" w:hAnsi="宋体" w:eastAsia="宋体" w:cs="宋体"/>
          <w:bCs/>
          <w:szCs w:val="21"/>
        </w:rPr>
        <w:t xml:space="preserve">                                          日期：______年</w:t>
      </w:r>
      <w:r>
        <w:rPr>
          <w:rFonts w:hint="eastAsia" w:ascii="宋体" w:hAnsi="宋体" w:eastAsia="宋体" w:cs="宋体"/>
          <w:bCs/>
          <w:szCs w:val="21"/>
          <w:u w:val="single"/>
        </w:rPr>
        <w:t xml:space="preserve">    </w:t>
      </w:r>
      <w:r>
        <w:rPr>
          <w:rFonts w:hint="eastAsia" w:ascii="宋体" w:hAnsi="宋体" w:eastAsia="宋体" w:cs="宋体"/>
          <w:bCs/>
          <w:szCs w:val="21"/>
        </w:rPr>
        <w:t>月</w:t>
      </w:r>
      <w:r>
        <w:rPr>
          <w:rFonts w:hint="eastAsia" w:ascii="宋体" w:hAnsi="宋体" w:eastAsia="宋体" w:cs="宋体"/>
          <w:bCs/>
          <w:szCs w:val="21"/>
          <w:u w:val="single"/>
        </w:rPr>
        <w:t xml:space="preserve">    </w:t>
      </w:r>
      <w:r>
        <w:rPr>
          <w:rFonts w:hint="eastAsia" w:ascii="宋体" w:hAnsi="宋体" w:eastAsia="宋体" w:cs="宋体"/>
          <w:bCs/>
          <w:szCs w:val="21"/>
        </w:rPr>
        <w:t>日</w:t>
      </w:r>
    </w:p>
    <w:p w14:paraId="2EBBB23E">
      <w:pPr>
        <w:spacing w:line="360" w:lineRule="auto"/>
        <w:jc w:val="center"/>
        <w:rPr>
          <w:rFonts w:hint="eastAsia" w:ascii="宋体" w:hAnsi="宋体" w:eastAsia="宋体" w:cs="宋体"/>
          <w:b/>
          <w:kern w:val="1"/>
          <w:szCs w:val="21"/>
        </w:rPr>
      </w:pPr>
      <w:r>
        <w:rPr>
          <w:rFonts w:hint="eastAsia" w:ascii="宋体" w:hAnsi="宋体" w:eastAsia="宋体" w:cs="宋体"/>
          <w:kern w:val="1"/>
          <w:szCs w:val="21"/>
        </w:rPr>
        <w:br w:type="page"/>
      </w:r>
      <w:r>
        <w:rPr>
          <w:rFonts w:hint="eastAsia" w:ascii="宋体" w:hAnsi="宋体" w:eastAsia="宋体" w:cs="宋体"/>
          <w:b/>
          <w:kern w:val="1"/>
          <w:szCs w:val="21"/>
        </w:rPr>
        <w:t>中小企业声明函（工程、服务）</w:t>
      </w:r>
    </w:p>
    <w:p w14:paraId="6F0956FE">
      <w:pPr>
        <w:spacing w:line="360" w:lineRule="auto"/>
        <w:ind w:firstLine="420" w:firstLineChars="200"/>
        <w:rPr>
          <w:rFonts w:hint="eastAsia" w:ascii="宋体" w:hAnsi="宋体" w:eastAsia="宋体" w:cs="宋体"/>
        </w:rPr>
      </w:pPr>
      <w:r>
        <w:rPr>
          <w:rFonts w:hint="eastAsia" w:ascii="宋体" w:hAnsi="宋体" w:eastAsia="宋体" w:cs="宋体"/>
        </w:rPr>
        <w:t>本公司（联合体）郑重声明，根据《政府采购促进中小企业发展管理办法》（财库﹝2020﹞46号）的规定，本公司（联合体）参加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79454406">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 xml:space="preserve">1. </w:t>
      </w:r>
      <w:r>
        <w:rPr>
          <w:rFonts w:hint="eastAsia" w:ascii="宋体" w:hAnsi="宋体" w:eastAsia="宋体" w:cs="宋体"/>
          <w:u w:val="single"/>
        </w:rPr>
        <w:t xml:space="preserve">（标的名称） </w:t>
      </w:r>
      <w:r>
        <w:rPr>
          <w:rFonts w:hint="eastAsia" w:ascii="宋体" w:hAnsi="宋体" w:eastAsia="宋体" w:cs="宋体"/>
        </w:rPr>
        <w:t>，属于</w:t>
      </w:r>
      <w:r>
        <w:rPr>
          <w:rFonts w:hint="eastAsia" w:ascii="宋体" w:hAnsi="宋体" w:eastAsia="宋体" w:cs="宋体"/>
          <w:b/>
          <w:bCs/>
          <w:u w:val="single"/>
        </w:rPr>
        <w:t>（</w:t>
      </w:r>
      <w:r>
        <w:rPr>
          <w:rFonts w:hint="eastAsia" w:ascii="宋体" w:hAnsi="宋体" w:eastAsia="宋体" w:cs="宋体"/>
          <w:b/>
          <w:bCs/>
          <w:u w:val="single"/>
          <w:lang w:val="en-US" w:eastAsia="zh-CN"/>
        </w:rPr>
        <w:t>其他未列明行业</w:t>
      </w:r>
      <w:r>
        <w:rPr>
          <w:rFonts w:hint="eastAsia" w:ascii="宋体" w:hAnsi="宋体" w:eastAsia="宋体" w:cs="宋体"/>
          <w:b/>
          <w:bCs/>
          <w:u w:val="single"/>
        </w:rPr>
        <w:t>）</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w:t>
      </w:r>
      <w:r>
        <w:rPr>
          <w:rFonts w:hint="eastAsia" w:ascii="宋体" w:hAnsi="宋体" w:eastAsia="宋体" w:cs="宋体"/>
          <w:lang w:eastAsia="en-US"/>
        </w:rPr>
        <w:fldChar w:fldCharType="begin"/>
      </w:r>
      <w:r>
        <w:rPr>
          <w:rFonts w:hint="eastAsia" w:ascii="宋体" w:hAnsi="宋体" w:eastAsia="宋体" w:cs="宋体"/>
        </w:rPr>
        <w:instrText xml:space="preserve"> HYPERLINK "file:///E:\\政府采购\\2021\\002%20香茗湖壹号南侧地块考古地表清理、勘探配合、发掘配合项目\\2%20磋商文件\\磋商文件%20（%20香茗湖壹号南侧地块考古地表清理、勘探配合、发掘配合）.doc" \l "br1" </w:instrText>
      </w:r>
      <w:r>
        <w:rPr>
          <w:rFonts w:hint="eastAsia" w:ascii="宋体" w:hAnsi="宋体" w:eastAsia="宋体" w:cs="宋体"/>
          <w:lang w:eastAsia="en-US"/>
        </w:rPr>
        <w:fldChar w:fldCharType="separate"/>
      </w:r>
      <w:r>
        <w:rPr>
          <w:rStyle w:val="52"/>
          <w:rFonts w:hint="eastAsia" w:ascii="宋体" w:hAnsi="宋体" w:eastAsia="宋体" w:cs="宋体"/>
          <w:color w:val="000000"/>
          <w:spacing w:val="-1"/>
          <w:vertAlign w:val="superscript"/>
        </w:rPr>
        <w:t>1</w:t>
      </w:r>
      <w:r>
        <w:rPr>
          <w:rFonts w:hint="eastAsia" w:ascii="宋体" w:hAnsi="宋体" w:eastAsia="宋体" w:cs="宋体"/>
          <w:lang w:eastAsia="en-US"/>
        </w:rPr>
        <w:fldChar w:fldCharType="end"/>
      </w:r>
      <w:r>
        <w:rPr>
          <w:rFonts w:hint="eastAsia" w:ascii="宋体" w:hAnsi="宋体" w:eastAsia="宋体" w:cs="宋体"/>
        </w:rPr>
        <w:t>，属于</w:t>
      </w:r>
      <w:r>
        <w:rPr>
          <w:rFonts w:hint="eastAsia" w:ascii="宋体" w:hAnsi="宋体" w:eastAsia="宋体" w:cs="宋体"/>
          <w:u w:val="single"/>
        </w:rPr>
        <w:t>（中型企业、小型企业、微型企业）；</w:t>
      </w:r>
    </w:p>
    <w:p w14:paraId="44F2CBBB">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 xml:space="preserve">2. </w:t>
      </w:r>
      <w:r>
        <w:rPr>
          <w:rFonts w:hint="eastAsia" w:ascii="宋体" w:hAnsi="宋体" w:eastAsia="宋体" w:cs="宋体"/>
          <w:u w:val="single"/>
        </w:rPr>
        <w:t>（标的名称）</w:t>
      </w:r>
      <w:r>
        <w:rPr>
          <w:rFonts w:hint="eastAsia" w:ascii="宋体" w:hAnsi="宋体" w:eastAsia="宋体" w:cs="宋体"/>
        </w:rPr>
        <w:t xml:space="preserve"> ，属于</w:t>
      </w:r>
      <w:r>
        <w:rPr>
          <w:rFonts w:hint="eastAsia" w:ascii="宋体" w:hAnsi="宋体" w:eastAsia="宋体" w:cs="宋体"/>
          <w:b/>
          <w:bCs/>
          <w:u w:val="single"/>
        </w:rPr>
        <w:t>（</w:t>
      </w:r>
      <w:r>
        <w:rPr>
          <w:rFonts w:hint="eastAsia" w:ascii="宋体" w:hAnsi="宋体" w:eastAsia="宋体" w:cs="宋体"/>
          <w:b/>
          <w:bCs/>
          <w:u w:val="single"/>
          <w:lang w:val="en-US" w:eastAsia="zh-CN"/>
        </w:rPr>
        <w:t>其他未列明行业</w:t>
      </w:r>
      <w:r>
        <w:rPr>
          <w:rFonts w:hint="eastAsia" w:ascii="宋体" w:hAnsi="宋体" w:eastAsia="宋体" w:cs="宋体"/>
          <w:b/>
          <w:bCs/>
          <w:u w:val="single"/>
        </w:rPr>
        <w:t>）</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p>
    <w:p w14:paraId="6A6B5607">
      <w:pPr>
        <w:spacing w:line="360" w:lineRule="auto"/>
        <w:ind w:firstLine="420" w:firstLineChars="200"/>
        <w:jc w:val="left"/>
        <w:rPr>
          <w:rFonts w:hint="eastAsia" w:ascii="宋体" w:hAnsi="宋体" w:eastAsia="宋体" w:cs="宋体"/>
        </w:rPr>
      </w:pPr>
      <w:r>
        <w:rPr>
          <w:rFonts w:hint="eastAsia" w:ascii="宋体" w:hAnsi="宋体" w:eastAsia="宋体" w:cs="宋体"/>
        </w:rPr>
        <w:t>……</w:t>
      </w:r>
    </w:p>
    <w:p w14:paraId="7F333562">
      <w:pPr>
        <w:spacing w:line="360" w:lineRule="auto"/>
        <w:ind w:firstLine="420" w:firstLineChars="20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2EC2F317">
      <w:pPr>
        <w:spacing w:line="360" w:lineRule="auto"/>
        <w:ind w:firstLine="420" w:firstLineChars="20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4CD440BA">
      <w:pPr>
        <w:spacing w:line="360" w:lineRule="auto"/>
        <w:ind w:firstLine="420" w:firstLineChars="200"/>
        <w:jc w:val="left"/>
        <w:rPr>
          <w:rFonts w:hint="eastAsia" w:ascii="宋体" w:hAnsi="宋体" w:eastAsia="宋体" w:cs="宋体"/>
        </w:rPr>
      </w:pPr>
    </w:p>
    <w:p w14:paraId="70CEEE6C">
      <w:pPr>
        <w:spacing w:line="360" w:lineRule="auto"/>
        <w:rPr>
          <w:rFonts w:hint="eastAsia" w:ascii="宋体" w:hAnsi="宋体" w:eastAsia="宋体" w:cs="宋体"/>
        </w:rPr>
      </w:pPr>
      <w:r>
        <w:rPr>
          <w:rFonts w:hint="eastAsia" w:ascii="宋体" w:hAnsi="宋体" w:eastAsia="宋体" w:cs="宋体"/>
        </w:rPr>
        <w:t>注：1、供应商如不提供此声明函，价格将不做相应扣除。</w:t>
      </w:r>
    </w:p>
    <w:p w14:paraId="66E79217">
      <w:pPr>
        <w:spacing w:line="360" w:lineRule="auto"/>
        <w:ind w:firstLine="420" w:firstLineChars="200"/>
        <w:rPr>
          <w:rFonts w:hint="eastAsia" w:ascii="宋体" w:hAnsi="宋体" w:eastAsia="宋体" w:cs="宋体"/>
        </w:rPr>
      </w:pPr>
      <w:r>
        <w:rPr>
          <w:rFonts w:hint="eastAsia" w:ascii="宋体" w:hAnsi="宋体" w:eastAsia="宋体" w:cs="宋体"/>
        </w:rPr>
        <w:t>2、企业声明函请完整填写，中标后将公示。</w:t>
      </w:r>
    </w:p>
    <w:p w14:paraId="349A581F">
      <w:pPr>
        <w:spacing w:line="360" w:lineRule="auto"/>
        <w:rPr>
          <w:rFonts w:hint="eastAsia" w:ascii="宋体" w:hAnsi="宋体" w:eastAsia="宋体" w:cs="宋体"/>
        </w:rPr>
      </w:pPr>
      <w:r>
        <w:rPr>
          <w:rFonts w:hint="eastAsia" w:ascii="宋体" w:hAnsi="宋体" w:eastAsia="宋体" w:cs="宋体"/>
        </w:rPr>
        <w:t xml:space="preserve"> </w:t>
      </w:r>
    </w:p>
    <w:p w14:paraId="40B4B165">
      <w:pPr>
        <w:spacing w:line="360" w:lineRule="auto"/>
        <w:ind w:firstLine="420" w:firstLineChars="200"/>
        <w:jc w:val="left"/>
        <w:rPr>
          <w:rFonts w:hint="eastAsia" w:ascii="宋体" w:hAnsi="宋体" w:eastAsia="宋体" w:cs="宋体"/>
        </w:rPr>
      </w:pPr>
    </w:p>
    <w:p w14:paraId="4BD3D615">
      <w:pPr>
        <w:spacing w:line="360" w:lineRule="auto"/>
        <w:ind w:firstLine="420" w:firstLineChars="200"/>
        <w:jc w:val="left"/>
        <w:rPr>
          <w:rFonts w:hint="eastAsia" w:ascii="宋体" w:hAnsi="宋体" w:eastAsia="宋体" w:cs="宋体"/>
        </w:rPr>
      </w:pPr>
    </w:p>
    <w:p w14:paraId="423782EB">
      <w:pPr>
        <w:spacing w:line="360" w:lineRule="auto"/>
        <w:ind w:firstLine="420" w:firstLineChars="200"/>
        <w:jc w:val="left"/>
        <w:rPr>
          <w:rFonts w:hint="eastAsia" w:ascii="宋体" w:hAnsi="宋体" w:eastAsia="宋体" w:cs="宋体"/>
        </w:rPr>
      </w:pPr>
    </w:p>
    <w:p w14:paraId="6EE4E4C7">
      <w:pPr>
        <w:spacing w:line="360" w:lineRule="auto"/>
        <w:ind w:firstLine="4620" w:firstLineChars="2200"/>
        <w:jc w:val="left"/>
        <w:rPr>
          <w:rFonts w:hint="eastAsia" w:ascii="宋体" w:hAnsi="宋体" w:eastAsia="宋体" w:cs="宋体"/>
        </w:rPr>
      </w:pPr>
      <w:r>
        <w:rPr>
          <w:rFonts w:hint="eastAsia" w:ascii="宋体" w:hAnsi="宋体" w:eastAsia="宋体" w:cs="宋体"/>
        </w:rPr>
        <w:t>企业名称（盖章）：</w:t>
      </w:r>
    </w:p>
    <w:p w14:paraId="340CC4AF">
      <w:pPr>
        <w:spacing w:line="360" w:lineRule="auto"/>
        <w:ind w:firstLine="4620" w:firstLineChars="2200"/>
        <w:jc w:val="left"/>
        <w:rPr>
          <w:rFonts w:hint="eastAsia" w:ascii="宋体" w:hAnsi="宋体" w:eastAsia="宋体" w:cs="宋体"/>
        </w:rPr>
      </w:pPr>
      <w:r>
        <w:rPr>
          <w:rFonts w:hint="eastAsia" w:ascii="宋体" w:hAnsi="宋体" w:eastAsia="宋体" w:cs="宋体"/>
        </w:rPr>
        <w:t>日 期：</w:t>
      </w:r>
    </w:p>
    <w:p w14:paraId="7C6F656C">
      <w:pPr>
        <w:spacing w:line="360" w:lineRule="auto"/>
        <w:ind w:firstLine="4620" w:firstLineChars="2200"/>
        <w:jc w:val="left"/>
        <w:rPr>
          <w:rFonts w:hint="eastAsia" w:ascii="宋体" w:hAnsi="宋体" w:eastAsia="宋体" w:cs="宋体"/>
        </w:rPr>
      </w:pPr>
    </w:p>
    <w:p w14:paraId="0B1C0DC4">
      <w:pPr>
        <w:spacing w:line="360" w:lineRule="auto"/>
        <w:rPr>
          <w:rFonts w:hint="eastAsia" w:ascii="宋体" w:hAnsi="宋体" w:eastAsia="宋体" w:cs="宋体"/>
        </w:rPr>
      </w:pPr>
      <w:r>
        <w:rPr>
          <w:rFonts w:hint="eastAsia" w:ascii="宋体" w:hAnsi="宋体" w:eastAsia="宋体" w:cs="宋体"/>
        </w:rPr>
        <w:t xml:space="preserve">  1从业人员、营业收入、资产总额填报上一年度数据，无上一年度数据的新成立企业可不填报。</w:t>
      </w:r>
    </w:p>
    <w:p w14:paraId="42D6A726">
      <w:pPr>
        <w:spacing w:line="360" w:lineRule="auto"/>
        <w:ind w:firstLine="4620" w:firstLineChars="2200"/>
        <w:jc w:val="left"/>
        <w:rPr>
          <w:rFonts w:hint="eastAsia" w:ascii="宋体" w:hAnsi="宋体" w:eastAsia="宋体" w:cs="宋体"/>
        </w:rPr>
      </w:pPr>
    </w:p>
    <w:p w14:paraId="09A3FA22">
      <w:pPr>
        <w:spacing w:line="360" w:lineRule="auto"/>
        <w:jc w:val="center"/>
        <w:rPr>
          <w:rFonts w:hint="eastAsia" w:ascii="宋体" w:hAnsi="宋体" w:eastAsia="宋体" w:cs="宋体"/>
          <w:kern w:val="1"/>
        </w:rPr>
      </w:pPr>
      <w:r>
        <w:rPr>
          <w:rFonts w:hint="eastAsia" w:ascii="宋体" w:hAnsi="宋体" w:eastAsia="宋体" w:cs="宋体"/>
        </w:rPr>
        <w:br w:type="page"/>
      </w:r>
      <w:r>
        <w:rPr>
          <w:rFonts w:hint="eastAsia" w:ascii="宋体" w:hAnsi="宋体" w:eastAsia="宋体" w:cs="宋体"/>
          <w:b/>
          <w:kern w:val="1"/>
          <w:szCs w:val="21"/>
        </w:rPr>
        <w:t>残疾人福利性单位声明函</w:t>
      </w:r>
    </w:p>
    <w:p w14:paraId="78BF1143">
      <w:pPr>
        <w:spacing w:line="360" w:lineRule="auto"/>
        <w:ind w:firstLine="420"/>
        <w:rPr>
          <w:rFonts w:hint="eastAsia" w:ascii="宋体" w:hAnsi="宋体" w:eastAsia="宋体" w:cs="宋体"/>
          <w:szCs w:val="21"/>
        </w:rPr>
      </w:pPr>
      <w:r>
        <w:rPr>
          <w:rFonts w:hint="eastAsia" w:ascii="宋体" w:hAnsi="宋体" w:eastAsia="宋体" w:cs="宋体"/>
          <w:szCs w:val="21"/>
        </w:rPr>
        <w:t>本公司郑重声明，根据《财政部  民政部  中国残疾人联合会关于促进残疾人就业政府采购政策的通知》（财库〔2017〕141号）的规定，本单位为符合条件的残疾人福利性单位，且本单位参加贵单位采购编号为</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szCs w:val="21"/>
          <w:u w:val="single"/>
        </w:rPr>
        <w:t xml:space="preserve">           </w:t>
      </w:r>
      <w:r>
        <w:rPr>
          <w:rFonts w:hint="eastAsia" w:ascii="宋体" w:hAnsi="宋体" w:eastAsia="宋体" w:cs="宋体"/>
          <w:szCs w:val="21"/>
        </w:rPr>
        <w:t xml:space="preserve">项目采购活动提供本单位制造的货物（由本单位承担工程/提供服务），或者提供其他残疾人福利性单位制造的货物（不包括使用非残疾人福利性单位注册商标的货物）。  </w:t>
      </w:r>
    </w:p>
    <w:p w14:paraId="154760FC">
      <w:pP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本公司对上述声明的真实性负责。如有虚假，将依法承担相应责任。</w:t>
      </w:r>
    </w:p>
    <w:p w14:paraId="2B7F217E">
      <w:pPr>
        <w:spacing w:line="360" w:lineRule="auto"/>
        <w:ind w:firstLine="420"/>
        <w:rPr>
          <w:rFonts w:hint="eastAsia" w:ascii="宋体" w:hAnsi="宋体" w:eastAsia="宋体" w:cs="宋体"/>
          <w:kern w:val="1"/>
          <w:szCs w:val="21"/>
        </w:rPr>
      </w:pPr>
    </w:p>
    <w:p w14:paraId="3A70E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（备注：1、供应商如不提供此声明函，价格将不做相应扣除。2、中标供应商为残疾人福利单位的，此声明函将随中标结果同时公告，接受社会监督）</w:t>
      </w:r>
    </w:p>
    <w:p w14:paraId="34A1B814">
      <w:pPr>
        <w:spacing w:line="360" w:lineRule="auto"/>
        <w:ind w:firstLine="420"/>
        <w:rPr>
          <w:rFonts w:hint="eastAsia" w:ascii="宋体" w:hAnsi="宋体" w:eastAsia="宋体" w:cs="宋体"/>
          <w:kern w:val="1"/>
          <w:szCs w:val="21"/>
        </w:rPr>
      </w:pPr>
    </w:p>
    <w:p w14:paraId="7381A876">
      <w:pPr>
        <w:spacing w:line="360" w:lineRule="auto"/>
        <w:ind w:firstLine="420"/>
        <w:rPr>
          <w:rFonts w:hint="eastAsia" w:ascii="宋体" w:hAnsi="宋体" w:eastAsia="宋体" w:cs="宋体"/>
          <w:kern w:val="1"/>
          <w:szCs w:val="21"/>
        </w:rPr>
      </w:pPr>
    </w:p>
    <w:p w14:paraId="5AD5F05E">
      <w:pPr>
        <w:spacing w:line="360" w:lineRule="auto"/>
        <w:ind w:firstLine="420"/>
        <w:rPr>
          <w:rFonts w:hint="eastAsia" w:ascii="宋体" w:hAnsi="宋体" w:eastAsia="宋体" w:cs="宋体"/>
          <w:kern w:val="1"/>
          <w:szCs w:val="21"/>
        </w:rPr>
      </w:pPr>
    </w:p>
    <w:p w14:paraId="3326850F">
      <w:pP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企业名称(盖章)：</w:t>
      </w:r>
    </w:p>
    <w:p w14:paraId="6A9D0CC4">
      <w:pPr>
        <w:pStyle w:val="2"/>
        <w:spacing w:line="360" w:lineRule="auto"/>
        <w:ind w:firstLine="420"/>
        <w:rPr>
          <w:rFonts w:hint="eastAsia" w:ascii="宋体" w:hAnsi="宋体" w:eastAsia="宋体" w:cs="宋体"/>
          <w:szCs w:val="21"/>
        </w:rPr>
      </w:pPr>
      <w:r>
        <w:rPr>
          <w:rFonts w:hint="eastAsia" w:ascii="宋体" w:hAnsi="宋体" w:eastAsia="宋体" w:cs="宋体"/>
          <w:szCs w:val="21"/>
        </w:rPr>
        <w:t>日  期：</w:t>
      </w:r>
    </w:p>
    <w:p w14:paraId="06E465B0">
      <w:pPr>
        <w:spacing w:line="360" w:lineRule="auto"/>
        <w:jc w:val="center"/>
        <w:rPr>
          <w:rFonts w:hint="eastAsia" w:ascii="宋体" w:hAnsi="宋体" w:eastAsia="宋体" w:cs="宋体"/>
          <w:szCs w:val="32"/>
        </w:rPr>
      </w:pPr>
      <w:r>
        <w:rPr>
          <w:rFonts w:hint="eastAsia" w:ascii="宋体" w:hAnsi="宋体" w:eastAsia="宋体" w:cs="宋体"/>
          <w:szCs w:val="21"/>
        </w:rPr>
        <w:br w:type="page"/>
      </w:r>
      <w:r>
        <w:rPr>
          <w:rFonts w:hint="eastAsia" w:ascii="宋体" w:hAnsi="宋体" w:eastAsia="宋体" w:cs="宋体"/>
          <w:b/>
          <w:bCs/>
          <w:szCs w:val="21"/>
        </w:rPr>
        <w:t>供应商信用承诺书</w:t>
      </w:r>
    </w:p>
    <w:p w14:paraId="222A98E1">
      <w:pPr>
        <w:spacing w:line="360" w:lineRule="auto"/>
        <w:rPr>
          <w:rFonts w:hint="eastAsia" w:ascii="宋体" w:hAnsi="宋体" w:eastAsia="宋体" w:cs="宋体"/>
          <w:szCs w:val="32"/>
        </w:rPr>
      </w:pPr>
      <w:r>
        <w:rPr>
          <w:rFonts w:hint="eastAsia" w:ascii="宋体" w:hAnsi="宋体" w:eastAsia="宋体" w:cs="宋体"/>
          <w:szCs w:val="32"/>
        </w:rPr>
        <w:t>承诺主体名称：</w:t>
      </w:r>
    </w:p>
    <w:p w14:paraId="7B8C4E4C">
      <w:pPr>
        <w:spacing w:line="360" w:lineRule="auto"/>
        <w:rPr>
          <w:rFonts w:hint="eastAsia" w:ascii="宋体" w:hAnsi="宋体" w:eastAsia="宋体" w:cs="宋体"/>
          <w:szCs w:val="32"/>
        </w:rPr>
      </w:pPr>
      <w:r>
        <w:rPr>
          <w:rFonts w:hint="eastAsia" w:ascii="宋体" w:hAnsi="宋体" w:eastAsia="宋体" w:cs="宋体"/>
          <w:szCs w:val="32"/>
        </w:rPr>
        <w:t>统一社会信用代码：</w:t>
      </w:r>
    </w:p>
    <w:p w14:paraId="7818A859">
      <w:pPr>
        <w:spacing w:line="360" w:lineRule="auto"/>
        <w:ind w:firstLine="420" w:firstLineChars="200"/>
        <w:rPr>
          <w:rFonts w:hint="eastAsia" w:ascii="宋体" w:hAnsi="宋体" w:eastAsia="宋体" w:cs="宋体"/>
          <w:szCs w:val="32"/>
        </w:rPr>
      </w:pPr>
      <w:r>
        <w:rPr>
          <w:rFonts w:hint="eastAsia" w:ascii="宋体" w:hAnsi="宋体" w:eastAsia="宋体" w:cs="宋体"/>
          <w:szCs w:val="32"/>
        </w:rPr>
        <w:t>为维护公平竞争、规范有序的市场秩序，营造诚实守信的信用环境，共同推进社会信用体系建设完善，树立企业诚信守法形象，本企业对________________________项目采购活动郑重承诺如下:</w:t>
      </w:r>
    </w:p>
    <w:p w14:paraId="1282A076">
      <w:pPr>
        <w:spacing w:line="360" w:lineRule="auto"/>
        <w:ind w:firstLine="420" w:firstLineChars="200"/>
        <w:rPr>
          <w:rFonts w:hint="eastAsia" w:ascii="宋体" w:hAnsi="宋体" w:eastAsia="宋体" w:cs="宋体"/>
          <w:szCs w:val="32"/>
        </w:rPr>
      </w:pPr>
      <w:r>
        <w:rPr>
          <w:rFonts w:hint="eastAsia" w:ascii="宋体" w:hAnsi="宋体" w:eastAsia="宋体" w:cs="宋体"/>
          <w:szCs w:val="32"/>
        </w:rPr>
        <w:t>一、对提供给注册登记部门、行业管理部门、司法部门、行业组织以及在采购活动中提交的所有资料的合法性、真实性、准确性和有效性负责；</w:t>
      </w:r>
    </w:p>
    <w:p w14:paraId="5711C49C">
      <w:pPr>
        <w:spacing w:line="360" w:lineRule="auto"/>
        <w:ind w:firstLine="420" w:firstLineChars="200"/>
        <w:rPr>
          <w:rFonts w:hint="eastAsia" w:ascii="宋体" w:hAnsi="宋体" w:eastAsia="宋体" w:cs="宋体"/>
          <w:szCs w:val="32"/>
        </w:rPr>
      </w:pPr>
      <w:r>
        <w:rPr>
          <w:rFonts w:hint="eastAsia" w:ascii="宋体" w:hAnsi="宋体" w:eastAsia="宋体" w:cs="宋体"/>
          <w:szCs w:val="32"/>
        </w:rPr>
        <w:t>二、严格按照国家法律、法规和规章开展采购活动，全面履行应尽的责任和义务，全面做到履约守信，具备采购法第二十二条第一款规定的条件;</w:t>
      </w:r>
    </w:p>
    <w:p w14:paraId="52983576">
      <w:pPr>
        <w:spacing w:line="360" w:lineRule="auto"/>
        <w:ind w:firstLine="420" w:firstLineChars="200"/>
        <w:rPr>
          <w:rFonts w:hint="eastAsia" w:ascii="宋体" w:hAnsi="宋体" w:eastAsia="宋体" w:cs="宋体"/>
          <w:szCs w:val="32"/>
        </w:rPr>
      </w:pPr>
      <w:r>
        <w:rPr>
          <w:rFonts w:hint="eastAsia" w:ascii="宋体" w:hAnsi="宋体" w:eastAsia="宋体" w:cs="宋体"/>
          <w:szCs w:val="32"/>
        </w:rPr>
        <w:t>三、严格依法开展生产经营活动，主动接受行业监管，自愿接受依法开展的日常检查；违法失信经营后将自愿接受约束和惩戒，并依法承担相应责任；</w:t>
      </w:r>
    </w:p>
    <w:p w14:paraId="1A167A81">
      <w:pPr>
        <w:spacing w:line="360" w:lineRule="auto"/>
        <w:ind w:firstLine="420" w:firstLineChars="200"/>
        <w:rPr>
          <w:rFonts w:hint="eastAsia" w:ascii="宋体" w:hAnsi="宋体" w:eastAsia="宋体" w:cs="宋体"/>
          <w:szCs w:val="32"/>
        </w:rPr>
      </w:pPr>
      <w:r>
        <w:rPr>
          <w:rFonts w:hint="eastAsia" w:ascii="宋体" w:hAnsi="宋体" w:eastAsia="宋体" w:cs="宋体"/>
          <w:szCs w:val="32"/>
        </w:rPr>
        <w:t>四、自觉接受行政管理部门、行业组织、社会公众、新闻舆论的监督；</w:t>
      </w:r>
    </w:p>
    <w:p w14:paraId="747C9E03">
      <w:pPr>
        <w:spacing w:line="360" w:lineRule="auto"/>
        <w:ind w:firstLine="420" w:firstLineChars="200"/>
        <w:rPr>
          <w:rFonts w:hint="eastAsia" w:ascii="宋体" w:hAnsi="宋体" w:eastAsia="宋体" w:cs="宋体"/>
          <w:szCs w:val="32"/>
        </w:rPr>
      </w:pPr>
      <w:r>
        <w:rPr>
          <w:rFonts w:hint="eastAsia" w:ascii="宋体" w:hAnsi="宋体" w:eastAsia="宋体" w:cs="宋体"/>
          <w:szCs w:val="32"/>
        </w:rPr>
        <w:t>五、自觉做到自我约束、自我管理，不制假售假、商标侵权、虚假宣传、违约毁约、恶意逃债、偷税漏税、垄断和不正当竞争，维护经营者、消费者的合法权益；</w:t>
      </w:r>
    </w:p>
    <w:p w14:paraId="6F36BD51">
      <w:pPr>
        <w:spacing w:line="360" w:lineRule="auto"/>
        <w:ind w:firstLine="420" w:firstLineChars="200"/>
        <w:rPr>
          <w:rFonts w:hint="eastAsia" w:ascii="宋体" w:hAnsi="宋体" w:eastAsia="宋体" w:cs="宋体"/>
          <w:szCs w:val="32"/>
        </w:rPr>
      </w:pPr>
      <w:r>
        <w:rPr>
          <w:rFonts w:hint="eastAsia" w:ascii="宋体" w:hAnsi="宋体" w:eastAsia="宋体" w:cs="宋体"/>
          <w:szCs w:val="32"/>
        </w:rPr>
        <w:t>六、提出采购质疑和投诉坚持依法依规、诚实信用原则，在全国范围12个月内没有三次以上查无实据的采购投诉；</w:t>
      </w:r>
    </w:p>
    <w:p w14:paraId="2DFD9642">
      <w:pPr>
        <w:spacing w:line="360" w:lineRule="auto"/>
        <w:ind w:firstLine="420" w:firstLineChars="200"/>
        <w:rPr>
          <w:rFonts w:hint="eastAsia" w:ascii="宋体" w:hAnsi="宋体" w:eastAsia="宋体" w:cs="宋体"/>
          <w:szCs w:val="32"/>
        </w:rPr>
      </w:pPr>
      <w:r>
        <w:rPr>
          <w:rFonts w:hint="eastAsia" w:ascii="宋体" w:hAnsi="宋体" w:eastAsia="宋体" w:cs="宋体"/>
          <w:szCs w:val="32"/>
        </w:rPr>
        <w:t>七、严格遵守信用信息公示相关规定，向社会公示信用信息；</w:t>
      </w:r>
    </w:p>
    <w:p w14:paraId="64771974">
      <w:pPr>
        <w:spacing w:line="360" w:lineRule="auto"/>
        <w:ind w:firstLine="420" w:firstLineChars="200"/>
        <w:rPr>
          <w:rFonts w:hint="eastAsia" w:ascii="宋体" w:hAnsi="宋体" w:eastAsia="宋体" w:cs="宋体"/>
          <w:szCs w:val="32"/>
        </w:rPr>
      </w:pPr>
      <w:r>
        <w:rPr>
          <w:rFonts w:hint="eastAsia" w:ascii="宋体" w:hAnsi="宋体" w:eastAsia="宋体" w:cs="宋体"/>
          <w:szCs w:val="32"/>
        </w:rPr>
        <w:t>八、在“信用中国”和“中国政府采购网”网站中无违法违规、较重或严重失信记录；</w:t>
      </w:r>
    </w:p>
    <w:p w14:paraId="01FC0BFD">
      <w:pPr>
        <w:spacing w:line="360" w:lineRule="auto"/>
        <w:ind w:firstLine="420" w:firstLineChars="200"/>
        <w:rPr>
          <w:rFonts w:hint="eastAsia" w:ascii="宋体" w:hAnsi="宋体" w:eastAsia="宋体" w:cs="宋体"/>
          <w:szCs w:val="32"/>
        </w:rPr>
      </w:pPr>
      <w:r>
        <w:rPr>
          <w:rFonts w:hint="eastAsia" w:ascii="宋体" w:hAnsi="宋体" w:eastAsia="宋体" w:cs="宋体"/>
          <w:szCs w:val="32"/>
        </w:rPr>
        <w:t>九、如违反承诺，自愿接受管理部门依法给予的行政处罚，同意将违反承诺的行为作为不良记录记入信用档案，依法依规进行信息公示，并承担所产生的一切法律责任和经济损失。</w:t>
      </w:r>
    </w:p>
    <w:p w14:paraId="72D2847C">
      <w:pPr>
        <w:spacing w:line="360" w:lineRule="auto"/>
        <w:ind w:firstLine="420" w:firstLineChars="200"/>
        <w:rPr>
          <w:rFonts w:hint="eastAsia" w:ascii="宋体" w:hAnsi="宋体" w:eastAsia="宋体" w:cs="宋体"/>
          <w:szCs w:val="32"/>
        </w:rPr>
      </w:pPr>
      <w:r>
        <w:rPr>
          <w:rFonts w:hint="eastAsia" w:ascii="宋体" w:hAnsi="宋体" w:eastAsia="宋体" w:cs="宋体"/>
          <w:szCs w:val="32"/>
        </w:rPr>
        <w:t>十、本承诺书自签订之日起生效。</w:t>
      </w:r>
    </w:p>
    <w:p w14:paraId="5B75A0DA">
      <w:pPr>
        <w:spacing w:line="360" w:lineRule="auto"/>
        <w:ind w:firstLine="420" w:firstLineChars="200"/>
        <w:rPr>
          <w:rFonts w:hint="eastAsia" w:ascii="宋体" w:hAnsi="宋体" w:eastAsia="宋体" w:cs="宋体"/>
          <w:szCs w:val="32"/>
        </w:rPr>
      </w:pPr>
      <w:r>
        <w:rPr>
          <w:rFonts w:hint="eastAsia" w:ascii="宋体" w:hAnsi="宋体" w:eastAsia="宋体" w:cs="宋体"/>
          <w:szCs w:val="32"/>
        </w:rPr>
        <w:t> （注：法定代表人或负责人、主体名称发生变更的应当重新做出承诺。）</w:t>
      </w:r>
    </w:p>
    <w:p w14:paraId="0104CAA5">
      <w:pPr>
        <w:spacing w:line="360" w:lineRule="auto"/>
        <w:rPr>
          <w:rFonts w:hint="eastAsia" w:ascii="宋体" w:hAnsi="宋体" w:eastAsia="宋体" w:cs="宋体"/>
          <w:szCs w:val="32"/>
        </w:rPr>
      </w:pPr>
      <w:r>
        <w:rPr>
          <w:rFonts w:hint="eastAsia" w:ascii="宋体" w:hAnsi="宋体" w:eastAsia="宋体" w:cs="宋体"/>
          <w:szCs w:val="32"/>
        </w:rPr>
        <w:t>承诺单位（签章）：           　　　　　　法定代表人（负责人）：</w:t>
      </w:r>
    </w:p>
    <w:p w14:paraId="09E329A8">
      <w:pPr>
        <w:pStyle w:val="2"/>
        <w:spacing w:line="360" w:lineRule="auto"/>
        <w:ind w:firstLine="420"/>
        <w:rPr>
          <w:rFonts w:hint="eastAsia" w:ascii="宋体" w:hAnsi="宋体" w:eastAsia="宋体" w:cs="宋体"/>
          <w:szCs w:val="21"/>
        </w:rPr>
      </w:pPr>
      <w:r>
        <w:rPr>
          <w:rFonts w:hint="eastAsia" w:ascii="宋体" w:hAnsi="宋体" w:eastAsia="宋体" w:cs="宋体"/>
          <w:szCs w:val="32"/>
        </w:rPr>
        <w:t>　　　　　　　　　      　                     年    月    日</w:t>
      </w:r>
    </w:p>
    <w:p w14:paraId="53428B0E">
      <w:pPr>
        <w:pStyle w:val="2"/>
        <w:spacing w:line="360" w:lineRule="auto"/>
        <w:ind w:firstLine="420"/>
        <w:jc w:val="center"/>
        <w:rPr>
          <w:rFonts w:hint="eastAsia" w:ascii="宋体" w:hAnsi="宋体" w:eastAsia="宋体" w:cs="宋体"/>
          <w:b/>
          <w:szCs w:val="21"/>
        </w:rPr>
      </w:pPr>
      <w:r>
        <w:rPr>
          <w:rFonts w:hint="eastAsia" w:ascii="宋体" w:hAnsi="宋体" w:eastAsia="宋体" w:cs="宋体"/>
        </w:rPr>
        <w:br w:type="page"/>
      </w:r>
      <w:r>
        <w:rPr>
          <w:rFonts w:hint="eastAsia" w:ascii="宋体" w:hAnsi="宋体" w:eastAsia="宋体" w:cs="宋体"/>
          <w:b/>
          <w:szCs w:val="21"/>
        </w:rPr>
        <w:t xml:space="preserve"> 三、磋商响应函</w:t>
      </w:r>
    </w:p>
    <w:p w14:paraId="4D65ED4A">
      <w:pPr>
        <w:pStyle w:val="109"/>
        <w:tabs>
          <w:tab w:val="clear" w:pos="360"/>
        </w:tabs>
        <w:spacing w:line="360" w:lineRule="auto"/>
        <w:ind w:firstLine="420"/>
        <w:rPr>
          <w:rFonts w:hint="eastAsia" w:ascii="宋体" w:hAnsi="宋体" w:eastAsia="宋体" w:cs="宋体"/>
          <w:sz w:val="21"/>
          <w:szCs w:val="21"/>
          <w:lang w:eastAsia="zh-CN"/>
        </w:rPr>
      </w:pPr>
      <w:r>
        <w:rPr>
          <w:rFonts w:hint="eastAsia" w:ascii="宋体" w:hAnsi="宋体" w:eastAsia="宋体" w:cs="宋体"/>
          <w:sz w:val="21"/>
          <w:szCs w:val="21"/>
        </w:rPr>
        <w:t>致：</w:t>
      </w:r>
      <w:r>
        <w:rPr>
          <w:rFonts w:hint="eastAsia" w:ascii="宋体" w:hAnsi="宋体" w:eastAsia="宋体" w:cs="宋体"/>
          <w:sz w:val="21"/>
          <w:szCs w:val="21"/>
          <w:lang w:eastAsia="zh-CN"/>
        </w:rPr>
        <w:t>江苏志诚工程咨询管理有限公司</w:t>
      </w:r>
    </w:p>
    <w:p w14:paraId="75358D37">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根据贵方的</w:t>
      </w:r>
      <w:r>
        <w:rPr>
          <w:rFonts w:hint="eastAsia" w:ascii="宋体" w:hAnsi="宋体" w:eastAsia="宋体" w:cs="宋体"/>
          <w:sz w:val="21"/>
          <w:szCs w:val="21"/>
          <w:u w:val="single"/>
        </w:rPr>
        <w:t xml:space="preserve">       </w:t>
      </w:r>
      <w:r>
        <w:rPr>
          <w:rFonts w:hint="eastAsia" w:ascii="宋体" w:hAnsi="宋体" w:eastAsia="宋体" w:cs="宋体"/>
          <w:sz w:val="21"/>
          <w:szCs w:val="21"/>
        </w:rPr>
        <w:t>号磋商文件，正式授权下述签字人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(姓名和职务)代表我方___（供应商的名称），全权处理本次项目磋商采购的有关事宜。</w:t>
      </w:r>
    </w:p>
    <w:p w14:paraId="24C4B0BF">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据此函，__________（签字人）兹宣布同意如下：</w:t>
      </w:r>
    </w:p>
    <w:p w14:paraId="46846101">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1.按磋商文件规定的各项要求，向买方提供所需服务/工程。</w:t>
      </w:r>
    </w:p>
    <w:p w14:paraId="5976BC74">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2.我们已详细审核全部磋商文件及其有效补充文件，我们知道必须放弃提出含糊不清或误解问题的权利。</w:t>
      </w:r>
    </w:p>
    <w:p w14:paraId="0C7D947A">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3.我们同意从规定的响应文件接收截止时间起遵循本响应文件，并在规定的磋商有效期期满之前均具有约束力。</w:t>
      </w:r>
    </w:p>
    <w:p w14:paraId="74F46A06">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4.如果在响应文件接收截止时间后规定的磋商有效期内撤回响应文件或成交后拒绝签订合同，我们的磋商保证金可被贵方没收。</w:t>
      </w:r>
    </w:p>
    <w:p w14:paraId="1F346752">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5.同意向贵方提供贵方可能另外要求的与磋商采购有关的任何证据或资料，并保证我方已提供和将要提供的文件是真实的、准确的。</w:t>
      </w:r>
    </w:p>
    <w:p w14:paraId="6FD52234">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6.一旦我方成交，我方将根据磋商文件的规定，严格履行合同的责任和义务，并保证在磋商文件规定的时间完成项目，交付买方验收、使用。</w:t>
      </w:r>
    </w:p>
    <w:p w14:paraId="0D738D16">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7.遵守磋商文件中要求的收费项目和标准。</w:t>
      </w:r>
    </w:p>
    <w:p w14:paraId="0F8953B8">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8.与本磋商采购有关的正式通讯地址为：</w:t>
      </w:r>
    </w:p>
    <w:p w14:paraId="081DF7A1">
      <w:pPr>
        <w:pStyle w:val="109"/>
        <w:tabs>
          <w:tab w:val="clear" w:pos="360"/>
        </w:tabs>
        <w:spacing w:line="360" w:lineRule="auto"/>
        <w:ind w:firstLine="420"/>
        <w:rPr>
          <w:rFonts w:hint="eastAsia" w:ascii="宋体" w:hAnsi="宋体" w:eastAsia="宋体" w:cs="宋体"/>
          <w:sz w:val="21"/>
          <w:szCs w:val="21"/>
        </w:rPr>
      </w:pPr>
    </w:p>
    <w:p w14:paraId="6D384653">
      <w:pPr>
        <w:pStyle w:val="109"/>
        <w:tabs>
          <w:tab w:val="clear" w:pos="360"/>
        </w:tabs>
        <w:spacing w:line="360" w:lineRule="auto"/>
        <w:ind w:firstLine="420"/>
        <w:rPr>
          <w:rFonts w:hint="eastAsia" w:ascii="宋体" w:hAnsi="宋体" w:eastAsia="宋体" w:cs="宋体"/>
          <w:sz w:val="21"/>
          <w:szCs w:val="21"/>
        </w:rPr>
      </w:pPr>
    </w:p>
    <w:p w14:paraId="5B273586">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地 址：                         邮 编：</w:t>
      </w:r>
    </w:p>
    <w:p w14:paraId="59D1EEF5">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电 话：                         传 真：</w:t>
      </w:r>
    </w:p>
    <w:p w14:paraId="1F5DD7EA">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供应商开户行：                  账 户：</w:t>
      </w:r>
    </w:p>
    <w:p w14:paraId="1A70F4F6">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法定代表人或授权代表姓名（签字）：     联系电话：</w:t>
      </w:r>
    </w:p>
    <w:p w14:paraId="1681211C">
      <w:pPr>
        <w:pStyle w:val="109"/>
        <w:tabs>
          <w:tab w:val="clear" w:pos="360"/>
        </w:tabs>
        <w:spacing w:line="360" w:lineRule="auto"/>
        <w:ind w:firstLine="420"/>
        <w:rPr>
          <w:rFonts w:hint="eastAsia" w:ascii="宋体" w:hAnsi="宋体" w:eastAsia="宋体" w:cs="宋体"/>
          <w:sz w:val="21"/>
          <w:szCs w:val="21"/>
        </w:rPr>
      </w:pPr>
      <w:r>
        <w:rPr>
          <w:rFonts w:hint="eastAsia" w:ascii="宋体" w:hAnsi="宋体" w:eastAsia="宋体" w:cs="宋体"/>
          <w:sz w:val="21"/>
          <w:szCs w:val="21"/>
        </w:rPr>
        <w:t>供应商名称（公章）：</w:t>
      </w:r>
    </w:p>
    <w:p w14:paraId="26347D91">
      <w:pPr>
        <w:pStyle w:val="2"/>
        <w:spacing w:line="360" w:lineRule="auto"/>
        <w:ind w:firstLine="420"/>
        <w:rPr>
          <w:rFonts w:hint="eastAsia" w:ascii="宋体" w:hAnsi="宋体" w:eastAsia="宋体" w:cs="宋体"/>
          <w:szCs w:val="21"/>
        </w:rPr>
      </w:pPr>
      <w:r>
        <w:rPr>
          <w:rFonts w:hint="eastAsia" w:ascii="宋体" w:hAnsi="宋体" w:eastAsia="宋体" w:cs="宋体"/>
          <w:szCs w:val="21"/>
        </w:rPr>
        <w:t>日 期：________年____月____日</w:t>
      </w:r>
    </w:p>
    <w:p w14:paraId="7E4DBE22">
      <w:pPr>
        <w:spacing w:line="360" w:lineRule="auto"/>
        <w:jc w:val="center"/>
        <w:rPr>
          <w:rFonts w:hint="eastAsia" w:ascii="宋体" w:hAnsi="宋体" w:eastAsia="宋体" w:cs="宋体"/>
          <w:b/>
          <w:sz w:val="28"/>
          <w:szCs w:val="28"/>
        </w:rPr>
      </w:pPr>
      <w:r>
        <w:rPr>
          <w:rFonts w:hint="eastAsia" w:ascii="宋体" w:hAnsi="宋体" w:eastAsia="宋体" w:cs="宋体"/>
          <w:szCs w:val="21"/>
        </w:rPr>
        <w:br w:type="page"/>
      </w:r>
      <w:r>
        <w:rPr>
          <w:rFonts w:hint="eastAsia" w:ascii="宋体" w:hAnsi="宋体" w:eastAsia="宋体" w:cs="宋体"/>
          <w:b/>
          <w:sz w:val="24"/>
        </w:rPr>
        <w:t>四、磋商响应报价表</w:t>
      </w:r>
    </w:p>
    <w:p w14:paraId="13232B1C">
      <w:pPr>
        <w:pStyle w:val="28"/>
        <w:spacing w:line="360" w:lineRule="auto"/>
        <w:ind w:firstLine="567" w:firstLineChars="270"/>
        <w:rPr>
          <w:rFonts w:hint="eastAsia" w:ascii="宋体" w:hAnsi="宋体" w:eastAsia="宋体" w:cs="宋体"/>
          <w:sz w:val="21"/>
          <w:szCs w:val="21"/>
        </w:rPr>
      </w:pPr>
      <w:r>
        <w:rPr>
          <w:rFonts w:hint="eastAsia" w:ascii="宋体" w:hAnsi="宋体" w:eastAsia="宋体" w:cs="宋体"/>
          <w:sz w:val="21"/>
          <w:szCs w:val="21"/>
        </w:rPr>
        <w:t>项目名称：</w:t>
      </w:r>
    </w:p>
    <w:p w14:paraId="41AC3561">
      <w:pPr>
        <w:spacing w:line="360" w:lineRule="auto"/>
        <w:ind w:firstLine="567" w:firstLineChars="270"/>
        <w:rPr>
          <w:rFonts w:hint="eastAsia" w:ascii="宋体" w:hAnsi="宋体" w:eastAsia="宋体" w:cs="宋体"/>
          <w:szCs w:val="21"/>
        </w:rPr>
      </w:pPr>
      <w:r>
        <w:rPr>
          <w:rFonts w:hint="eastAsia" w:ascii="宋体" w:hAnsi="宋体" w:eastAsia="宋体" w:cs="宋体"/>
          <w:szCs w:val="21"/>
        </w:rPr>
        <w:t>项目编号：</w:t>
      </w:r>
    </w:p>
    <w:p w14:paraId="7AE69B7B">
      <w:pPr>
        <w:pStyle w:val="2"/>
        <w:spacing w:line="360" w:lineRule="auto"/>
        <w:ind w:firstLine="420"/>
        <w:rPr>
          <w:rFonts w:hint="eastAsia" w:ascii="宋体" w:hAnsi="宋体" w:eastAsia="宋体" w:cs="宋体"/>
        </w:rPr>
      </w:pPr>
      <w:r>
        <w:rPr>
          <w:rFonts w:hint="eastAsia" w:ascii="宋体" w:hAnsi="宋体" w:eastAsia="宋体" w:cs="宋体"/>
        </w:rPr>
        <w:t>本次为首次报价</w:t>
      </w:r>
      <w:r>
        <w:rPr>
          <w:rFonts w:hint="eastAsia" w:ascii="宋体" w:hAnsi="宋体" w:eastAsia="宋体" w:cs="宋体"/>
          <w:szCs w:val="21"/>
        </w:rPr>
        <w:t xml:space="preserve"> </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27"/>
        <w:gridCol w:w="7412"/>
      </w:tblGrid>
      <w:tr w14:paraId="7A7C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227" w:type="dxa"/>
            <w:vAlign w:val="center"/>
          </w:tcPr>
          <w:p w14:paraId="682BC74A">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rPr>
            </w:pPr>
            <w:r>
              <w:rPr>
                <w:rFonts w:hint="eastAsia" w:ascii="宋体" w:hAnsi="宋体" w:cs="宋体"/>
                <w:color w:val="000000"/>
                <w:szCs w:val="21"/>
              </w:rPr>
              <w:t>项目名称</w:t>
            </w:r>
          </w:p>
        </w:tc>
        <w:tc>
          <w:tcPr>
            <w:tcW w:w="7412" w:type="dxa"/>
            <w:vAlign w:val="center"/>
          </w:tcPr>
          <w:p w14:paraId="387491AD">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rPr>
            </w:pPr>
            <w:r>
              <w:rPr>
                <w:rFonts w:hint="eastAsia" w:ascii="宋体" w:hAnsi="宋体" w:cs="宋体"/>
                <w:color w:val="000000"/>
                <w:szCs w:val="21"/>
              </w:rPr>
              <w:t>第一轮报价</w:t>
            </w:r>
          </w:p>
        </w:tc>
      </w:tr>
      <w:tr w14:paraId="59AB1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6" w:hRule="exact"/>
          <w:jc w:val="center"/>
        </w:trPr>
        <w:tc>
          <w:tcPr>
            <w:tcW w:w="2227" w:type="dxa"/>
            <w:vAlign w:val="center"/>
          </w:tcPr>
          <w:p w14:paraId="1774AB22">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rPr>
            </w:pPr>
          </w:p>
        </w:tc>
        <w:tc>
          <w:tcPr>
            <w:tcW w:w="7412" w:type="dxa"/>
            <w:vAlign w:val="top"/>
          </w:tcPr>
          <w:p w14:paraId="239B8926">
            <w:pPr>
              <w:keepNext w:val="0"/>
              <w:keepLines w:val="0"/>
              <w:suppressLineNumbers w:val="0"/>
              <w:spacing w:before="0" w:beforeAutospacing="0" w:after="0" w:afterAutospacing="0" w:line="360" w:lineRule="auto"/>
              <w:ind w:left="0" w:right="0"/>
              <w:rPr>
                <w:rFonts w:hint="eastAsia"/>
                <w:color w:val="000000"/>
              </w:rPr>
            </w:pPr>
          </w:p>
          <w:p w14:paraId="59038E85">
            <w:pPr>
              <w:keepNext w:val="0"/>
              <w:keepLines w:val="0"/>
              <w:suppressLineNumbers w:val="0"/>
              <w:spacing w:before="0" w:beforeAutospacing="0" w:after="0" w:afterAutospacing="0" w:line="360" w:lineRule="auto"/>
              <w:ind w:left="0" w:right="0"/>
              <w:rPr>
                <w:rFonts w:hint="eastAsia"/>
                <w:color w:val="000000"/>
                <w:u w:val="single"/>
              </w:rPr>
            </w:pPr>
            <w:r>
              <w:rPr>
                <w:rFonts w:hint="eastAsia"/>
                <w:color w:val="000000"/>
              </w:rPr>
              <w:t>大写：</w:t>
            </w:r>
          </w:p>
          <w:p w14:paraId="7702E793">
            <w:pPr>
              <w:keepNext w:val="0"/>
              <w:keepLines w:val="0"/>
              <w:suppressLineNumbers w:val="0"/>
              <w:spacing w:before="0" w:beforeAutospacing="0" w:after="0" w:afterAutospacing="0" w:line="360" w:lineRule="auto"/>
              <w:ind w:left="0" w:right="0"/>
              <w:rPr>
                <w:rFonts w:hint="eastAsia"/>
                <w:color w:val="000000"/>
              </w:rPr>
            </w:pPr>
          </w:p>
          <w:p w14:paraId="66646F54">
            <w:pPr>
              <w:keepNext w:val="0"/>
              <w:keepLines w:val="0"/>
              <w:suppressLineNumbers w:val="0"/>
              <w:spacing w:before="0" w:beforeAutospacing="0" w:after="0" w:afterAutospacing="0" w:line="360" w:lineRule="auto"/>
              <w:ind w:left="0" w:right="0"/>
              <w:rPr>
                <w:rFonts w:hint="eastAsia"/>
                <w:color w:val="000000"/>
              </w:rPr>
            </w:pPr>
            <w:r>
              <w:rPr>
                <w:rFonts w:hint="eastAsia"/>
                <w:color w:val="000000"/>
              </w:rPr>
              <w:t>小写：                           （人民币：元）</w:t>
            </w:r>
          </w:p>
          <w:p w14:paraId="3F3DE6FF">
            <w:pPr>
              <w:pStyle w:val="2"/>
              <w:keepNext w:val="0"/>
              <w:keepLines w:val="0"/>
              <w:suppressLineNumbers w:val="0"/>
              <w:spacing w:before="0" w:beforeAutospacing="0" w:after="0" w:afterAutospacing="0"/>
              <w:ind w:left="0" w:right="0" w:firstLine="420"/>
              <w:rPr>
                <w:rFonts w:hint="eastAsia"/>
                <w:color w:val="000000"/>
              </w:rPr>
            </w:pPr>
          </w:p>
          <w:p w14:paraId="78250CE5">
            <w:pPr>
              <w:pStyle w:val="3"/>
              <w:keepNext w:val="0"/>
              <w:keepLines w:val="0"/>
              <w:suppressLineNumbers w:val="0"/>
              <w:spacing w:before="0" w:beforeAutospacing="0" w:after="0" w:afterAutospacing="0"/>
              <w:ind w:right="0"/>
              <w:rPr>
                <w:rFonts w:hint="eastAsia"/>
                <w:color w:val="000000"/>
              </w:rPr>
            </w:pPr>
          </w:p>
        </w:tc>
      </w:tr>
      <w:tr w14:paraId="585F9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exact"/>
          <w:jc w:val="center"/>
        </w:trPr>
        <w:tc>
          <w:tcPr>
            <w:tcW w:w="2227" w:type="dxa"/>
            <w:vAlign w:val="center"/>
          </w:tcPr>
          <w:p w14:paraId="54106A45">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rPr>
            </w:pPr>
            <w:r>
              <w:rPr>
                <w:rFonts w:hint="eastAsia" w:ascii="宋体" w:hAnsi="宋体" w:cs="宋体"/>
                <w:color w:val="000000"/>
                <w:szCs w:val="21"/>
              </w:rPr>
              <w:t>合同履行期</w:t>
            </w:r>
          </w:p>
        </w:tc>
        <w:tc>
          <w:tcPr>
            <w:tcW w:w="7412" w:type="dxa"/>
            <w:vAlign w:val="center"/>
          </w:tcPr>
          <w:p w14:paraId="22CF3CCA">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lang w:eastAsia="zh-CN"/>
              </w:rPr>
            </w:pPr>
            <w:r>
              <w:rPr>
                <w:rFonts w:hint="eastAsia" w:ascii="宋体" w:hAnsi="宋体" w:cs="宋体"/>
                <w:color w:val="000000"/>
                <w:szCs w:val="21"/>
                <w:lang w:eastAsia="zh-CN"/>
              </w:rPr>
              <w:t>一年</w:t>
            </w:r>
          </w:p>
        </w:tc>
      </w:tr>
      <w:tr w14:paraId="79C4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exact"/>
          <w:jc w:val="center"/>
        </w:trPr>
        <w:tc>
          <w:tcPr>
            <w:tcW w:w="2227" w:type="dxa"/>
            <w:vAlign w:val="center"/>
          </w:tcPr>
          <w:p w14:paraId="28D2FE05">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Cs w:val="21"/>
                <w:lang w:val="en-US" w:eastAsia="zh-CN"/>
              </w:rPr>
            </w:pPr>
            <w:r>
              <w:rPr>
                <w:rFonts w:hint="eastAsia" w:ascii="宋体" w:hAnsi="宋体" w:eastAsia="宋体" w:cs="宋体"/>
                <w:color w:val="000000"/>
                <w:szCs w:val="21"/>
                <w:lang w:val="en-US" w:eastAsia="zh-CN"/>
              </w:rPr>
              <w:t>是否中/小/微企业</w:t>
            </w:r>
          </w:p>
        </w:tc>
        <w:tc>
          <w:tcPr>
            <w:tcW w:w="7412" w:type="dxa"/>
            <w:vAlign w:val="center"/>
          </w:tcPr>
          <w:p w14:paraId="413430D0">
            <w:pPr>
              <w:pStyle w:val="88"/>
              <w:keepNext w:val="0"/>
              <w:keepLines w:val="0"/>
              <w:suppressLineNumbers w:val="0"/>
              <w:spacing w:before="0" w:beforeAutospacing="0" w:after="0" w:afterAutospacing="0" w:line="500" w:lineRule="exact"/>
              <w:ind w:left="0" w:right="0" w:firstLine="630" w:firstLineChars="300"/>
              <w:rPr>
                <w:rFonts w:hint="eastAsia" w:ascii="宋体" w:hAnsi="宋体" w:cs="宋体"/>
                <w:color w:val="000000"/>
                <w:sz w:val="21"/>
                <w:szCs w:val="21"/>
              </w:rPr>
            </w:pPr>
            <w:r>
              <w:rPr>
                <w:rFonts w:hint="eastAsia" w:ascii="宋体" w:hAnsi="宋体" w:cs="宋体"/>
                <w:color w:val="000000"/>
                <w:kern w:val="2"/>
                <w:sz w:val="21"/>
                <w:szCs w:val="21"/>
              </w:rPr>
              <w:t xml:space="preserve">□中型企业     □小型企业    □微型企业 </w:t>
            </w:r>
          </w:p>
        </w:tc>
      </w:tr>
      <w:tr w14:paraId="6287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exact"/>
          <w:jc w:val="center"/>
        </w:trPr>
        <w:tc>
          <w:tcPr>
            <w:tcW w:w="2227" w:type="dxa"/>
            <w:vAlign w:val="center"/>
          </w:tcPr>
          <w:p w14:paraId="1141823A">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rPr>
            </w:pPr>
            <w:r>
              <w:rPr>
                <w:rFonts w:hint="eastAsia" w:ascii="宋体" w:hAnsi="宋体" w:cs="宋体"/>
                <w:color w:val="000000"/>
                <w:szCs w:val="21"/>
              </w:rPr>
              <w:t>备 注</w:t>
            </w:r>
          </w:p>
        </w:tc>
        <w:tc>
          <w:tcPr>
            <w:tcW w:w="7412" w:type="dxa"/>
            <w:vAlign w:val="top"/>
          </w:tcPr>
          <w:p w14:paraId="7836BB95">
            <w:pPr>
              <w:keepNext w:val="0"/>
              <w:keepLines w:val="0"/>
              <w:suppressLineNumbers w:val="0"/>
              <w:spacing w:before="0" w:beforeAutospacing="0" w:after="0" w:afterAutospacing="0" w:line="360" w:lineRule="auto"/>
              <w:ind w:left="0" w:right="0"/>
              <w:rPr>
                <w:rFonts w:hint="eastAsia" w:ascii="宋体" w:hAnsi="宋体" w:cs="宋体"/>
                <w:color w:val="000000"/>
                <w:szCs w:val="21"/>
                <w:u w:val="single"/>
              </w:rPr>
            </w:pPr>
          </w:p>
        </w:tc>
      </w:tr>
    </w:tbl>
    <w:p w14:paraId="5504D07F">
      <w:pPr>
        <w:spacing w:line="360" w:lineRule="auto"/>
        <w:rPr>
          <w:rFonts w:hint="eastAsia" w:ascii="宋体" w:hAnsi="宋体" w:eastAsia="宋体" w:cs="宋体"/>
          <w:szCs w:val="21"/>
        </w:rPr>
      </w:pPr>
    </w:p>
    <w:p w14:paraId="21ADB8DA">
      <w:pPr>
        <w:spacing w:line="360" w:lineRule="auto"/>
        <w:ind w:firstLine="567" w:firstLineChars="270"/>
        <w:rPr>
          <w:rFonts w:hint="eastAsia" w:ascii="宋体" w:hAnsi="宋体" w:eastAsia="宋体" w:cs="宋体"/>
          <w:szCs w:val="21"/>
        </w:rPr>
      </w:pPr>
      <w:r>
        <w:rPr>
          <w:rFonts w:hint="eastAsia" w:ascii="宋体" w:hAnsi="宋体" w:eastAsia="宋体" w:cs="宋体"/>
          <w:szCs w:val="21"/>
        </w:rPr>
        <w:t xml:space="preserve">法定代表人或者授权代表（签字或盖章）：                    </w:t>
      </w:r>
    </w:p>
    <w:p w14:paraId="57101240">
      <w:pPr>
        <w:spacing w:line="360" w:lineRule="auto"/>
        <w:ind w:firstLine="567" w:firstLineChars="270"/>
        <w:rPr>
          <w:rFonts w:hint="eastAsia" w:ascii="宋体" w:hAnsi="宋体" w:eastAsia="宋体" w:cs="宋体"/>
          <w:szCs w:val="21"/>
          <w:u w:val="single"/>
        </w:rPr>
      </w:pPr>
      <w:r>
        <w:rPr>
          <w:rFonts w:hint="eastAsia" w:ascii="宋体" w:hAnsi="宋体" w:eastAsia="宋体" w:cs="宋体"/>
          <w:szCs w:val="21"/>
        </w:rPr>
        <w:t>磋商供应商全称（盖章）：</w:t>
      </w:r>
      <w:r>
        <w:rPr>
          <w:rFonts w:hint="eastAsia" w:ascii="宋体" w:hAnsi="宋体" w:eastAsia="宋体" w:cs="宋体"/>
          <w:szCs w:val="21"/>
          <w:u w:val="single"/>
        </w:rPr>
        <w:t xml:space="preserve">                         </w:t>
      </w:r>
    </w:p>
    <w:p w14:paraId="7D581E3D">
      <w:pPr>
        <w:spacing w:line="360" w:lineRule="auto"/>
        <w:ind w:firstLine="567" w:firstLineChars="270"/>
        <w:rPr>
          <w:rFonts w:hint="eastAsia" w:ascii="宋体" w:hAnsi="宋体" w:eastAsia="宋体" w:cs="宋体"/>
          <w:szCs w:val="21"/>
        </w:rPr>
      </w:pPr>
      <w:r>
        <w:rPr>
          <w:rFonts w:hint="eastAsia" w:ascii="宋体" w:hAnsi="宋体" w:eastAsia="宋体" w:cs="宋体"/>
          <w:szCs w:val="21"/>
        </w:rPr>
        <w:t>日期：    年   月    日</w:t>
      </w:r>
    </w:p>
    <w:p w14:paraId="76E121C4">
      <w:pPr>
        <w:spacing w:line="360" w:lineRule="auto"/>
        <w:jc w:val="left"/>
        <w:rPr>
          <w:rFonts w:hint="eastAsia" w:ascii="宋体" w:hAnsi="宋体" w:eastAsia="宋体" w:cs="宋体"/>
          <w:iCs/>
          <w:szCs w:val="21"/>
        </w:rPr>
      </w:pPr>
      <w:r>
        <w:rPr>
          <w:rFonts w:hint="eastAsia" w:ascii="宋体" w:hAnsi="宋体" w:eastAsia="宋体" w:cs="宋体"/>
          <w:iCs/>
          <w:szCs w:val="21"/>
        </w:rPr>
        <w:t>注：</w:t>
      </w:r>
    </w:p>
    <w:p w14:paraId="0B9BF2C4">
      <w:pPr>
        <w:spacing w:line="360" w:lineRule="auto"/>
        <w:jc w:val="left"/>
        <w:rPr>
          <w:rFonts w:hint="eastAsia" w:ascii="宋体" w:hAnsi="宋体" w:eastAsia="宋体" w:cs="宋体"/>
          <w:iCs/>
          <w:szCs w:val="21"/>
        </w:rPr>
      </w:pPr>
      <w:r>
        <w:rPr>
          <w:rFonts w:hint="eastAsia" w:ascii="宋体" w:hAnsi="宋体" w:eastAsia="宋体" w:cs="宋体"/>
          <w:iCs/>
          <w:szCs w:val="21"/>
        </w:rPr>
        <w:t>1、</w:t>
      </w:r>
      <w:r>
        <w:rPr>
          <w:rFonts w:hint="eastAsia" w:ascii="宋体" w:hAnsi="宋体" w:eastAsia="宋体" w:cs="宋体"/>
          <w:bCs/>
          <w:iCs/>
          <w:szCs w:val="21"/>
        </w:rPr>
        <w:t>磋商响应报价表必须加盖投标人公章（复印件无效）</w:t>
      </w:r>
      <w:r>
        <w:rPr>
          <w:rFonts w:hint="eastAsia" w:ascii="宋体" w:hAnsi="宋体" w:eastAsia="宋体" w:cs="宋体"/>
          <w:iCs/>
          <w:szCs w:val="21"/>
        </w:rPr>
        <w:t>。</w:t>
      </w:r>
    </w:p>
    <w:p w14:paraId="2BDCB34A">
      <w:pPr>
        <w:spacing w:line="360" w:lineRule="auto"/>
        <w:rPr>
          <w:rFonts w:hint="eastAsia" w:ascii="宋体" w:hAnsi="宋体" w:eastAsia="宋体" w:cs="宋体"/>
          <w:iCs/>
          <w:szCs w:val="21"/>
        </w:rPr>
      </w:pPr>
      <w:r>
        <w:rPr>
          <w:rFonts w:hint="eastAsia" w:ascii="宋体" w:hAnsi="宋体" w:eastAsia="宋体" w:cs="宋体"/>
          <w:iCs/>
          <w:szCs w:val="21"/>
        </w:rPr>
        <w:t>2、此表可以根据需要自行增减行数，且该表报价非本次磋商中的最后报价。</w:t>
      </w:r>
    </w:p>
    <w:p w14:paraId="6174D0D0">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iCs/>
          <w:szCs w:val="21"/>
        </w:rPr>
      </w:pPr>
      <w:r>
        <w:rPr>
          <w:rFonts w:hint="eastAsia" w:ascii="宋体" w:hAnsi="宋体" w:eastAsia="宋体" w:cs="宋体"/>
          <w:iCs/>
          <w:szCs w:val="21"/>
        </w:rPr>
        <w:br w:type="page"/>
      </w:r>
      <w:bookmarkStart w:id="146" w:name="_Toc182234156"/>
    </w:p>
    <w:p w14:paraId="338E864B">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b/>
          <w:color w:val="000000"/>
          <w:szCs w:val="21"/>
        </w:rPr>
      </w:pPr>
      <w:r>
        <w:rPr>
          <w:rFonts w:hint="eastAsia" w:ascii="宋体" w:hAnsi="宋体" w:eastAsia="宋体" w:cs="宋体"/>
          <w:b/>
          <w:sz w:val="24"/>
        </w:rPr>
        <w:t>分项报价表</w:t>
      </w:r>
      <w:bookmarkEnd w:id="146"/>
    </w:p>
    <w:p w14:paraId="213DF1A8">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项目名称：</w:t>
      </w:r>
    </w:p>
    <w:p w14:paraId="43F8A885">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项目编号：</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140"/>
        <w:gridCol w:w="3319"/>
        <w:gridCol w:w="850"/>
        <w:gridCol w:w="1452"/>
        <w:gridCol w:w="1315"/>
        <w:gridCol w:w="1429"/>
      </w:tblGrid>
      <w:tr w14:paraId="21EE3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5" w:hRule="atLeast"/>
          <w:jc w:val="center"/>
        </w:trPr>
        <w:tc>
          <w:tcPr>
            <w:tcW w:w="641" w:type="dxa"/>
            <w:vAlign w:val="center"/>
          </w:tcPr>
          <w:p w14:paraId="6038E9B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000000"/>
                <w:szCs w:val="21"/>
              </w:rPr>
            </w:pPr>
            <w:r>
              <w:rPr>
                <w:rFonts w:hint="eastAsia" w:ascii="宋体" w:hAnsi="宋体"/>
                <w:color w:val="000000"/>
                <w:szCs w:val="21"/>
              </w:rPr>
              <w:t>序号</w:t>
            </w:r>
          </w:p>
        </w:tc>
        <w:tc>
          <w:tcPr>
            <w:tcW w:w="1140" w:type="dxa"/>
            <w:vAlign w:val="center"/>
          </w:tcPr>
          <w:p w14:paraId="6D03FD4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000000"/>
                <w:szCs w:val="21"/>
              </w:rPr>
            </w:pPr>
            <w:r>
              <w:rPr>
                <w:rFonts w:hint="eastAsia" w:ascii="宋体" w:hAnsi="宋体"/>
                <w:color w:val="000000"/>
                <w:szCs w:val="21"/>
              </w:rPr>
              <w:t>名称</w:t>
            </w:r>
          </w:p>
        </w:tc>
        <w:tc>
          <w:tcPr>
            <w:tcW w:w="3319" w:type="dxa"/>
            <w:vAlign w:val="center"/>
          </w:tcPr>
          <w:p w14:paraId="2E2F739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000000"/>
                <w:szCs w:val="21"/>
              </w:rPr>
            </w:pPr>
            <w:r>
              <w:rPr>
                <w:rFonts w:hint="eastAsia" w:ascii="宋体" w:hAnsi="宋体"/>
                <w:color w:val="000000"/>
                <w:szCs w:val="21"/>
              </w:rPr>
              <w:t>项目特征</w:t>
            </w:r>
          </w:p>
        </w:tc>
        <w:tc>
          <w:tcPr>
            <w:tcW w:w="850" w:type="dxa"/>
            <w:vAlign w:val="center"/>
          </w:tcPr>
          <w:p w14:paraId="71A3881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000000"/>
                <w:szCs w:val="21"/>
              </w:rPr>
            </w:pPr>
            <w:r>
              <w:rPr>
                <w:rFonts w:hint="eastAsia" w:ascii="宋体" w:hAnsi="宋体"/>
                <w:color w:val="000000"/>
                <w:szCs w:val="21"/>
              </w:rPr>
              <w:t>单位</w:t>
            </w:r>
          </w:p>
        </w:tc>
        <w:tc>
          <w:tcPr>
            <w:tcW w:w="1452" w:type="dxa"/>
            <w:vAlign w:val="center"/>
          </w:tcPr>
          <w:p w14:paraId="64357C3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000000"/>
                <w:szCs w:val="21"/>
              </w:rPr>
            </w:pPr>
            <w:r>
              <w:rPr>
                <w:rFonts w:hint="eastAsia" w:ascii="宋体" w:hAnsi="宋体"/>
                <w:color w:val="000000"/>
                <w:szCs w:val="21"/>
              </w:rPr>
              <w:t>工程量</w:t>
            </w:r>
          </w:p>
        </w:tc>
        <w:tc>
          <w:tcPr>
            <w:tcW w:w="1315" w:type="dxa"/>
            <w:vAlign w:val="center"/>
          </w:tcPr>
          <w:p w14:paraId="20B19A7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000000"/>
                <w:szCs w:val="21"/>
              </w:rPr>
            </w:pPr>
            <w:r>
              <w:rPr>
                <w:rFonts w:hint="eastAsia" w:ascii="宋体" w:hAnsi="宋体"/>
                <w:color w:val="000000"/>
                <w:szCs w:val="21"/>
              </w:rPr>
              <w:t>单价（元）</w:t>
            </w:r>
          </w:p>
        </w:tc>
        <w:tc>
          <w:tcPr>
            <w:tcW w:w="1429" w:type="dxa"/>
            <w:vAlign w:val="center"/>
          </w:tcPr>
          <w:p w14:paraId="529E81E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000000"/>
                <w:szCs w:val="21"/>
              </w:rPr>
            </w:pPr>
            <w:r>
              <w:rPr>
                <w:rFonts w:hint="eastAsia" w:ascii="宋体" w:hAnsi="宋体"/>
                <w:color w:val="000000"/>
                <w:szCs w:val="21"/>
              </w:rPr>
              <w:t>总价（元）</w:t>
            </w:r>
          </w:p>
        </w:tc>
      </w:tr>
      <w:tr w14:paraId="402E9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1" w:hRule="atLeast"/>
          <w:jc w:val="center"/>
        </w:trPr>
        <w:tc>
          <w:tcPr>
            <w:tcW w:w="641" w:type="dxa"/>
            <w:vAlign w:val="center"/>
          </w:tcPr>
          <w:p w14:paraId="1130B1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000000"/>
                <w:sz w:val="21"/>
                <w:szCs w:val="21"/>
              </w:rPr>
            </w:pPr>
            <w:r>
              <w:rPr>
                <w:rFonts w:hint="eastAsia" w:ascii="宋体" w:hAnsi="宋体" w:cs="宋体"/>
                <w:color w:val="000000"/>
                <w:kern w:val="0"/>
                <w:sz w:val="21"/>
                <w:szCs w:val="21"/>
                <w:lang w:bidi="ar"/>
              </w:rPr>
              <w:t>1</w:t>
            </w:r>
          </w:p>
        </w:tc>
        <w:tc>
          <w:tcPr>
            <w:tcW w:w="1140" w:type="dxa"/>
            <w:vAlign w:val="center"/>
          </w:tcPr>
          <w:p w14:paraId="7753B1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000000"/>
                <w:sz w:val="21"/>
                <w:szCs w:val="21"/>
              </w:rPr>
            </w:pPr>
            <w:r>
              <w:rPr>
                <w:rFonts w:hint="eastAsia" w:ascii="宋体" w:hAnsi="宋体" w:cs="宋体"/>
                <w:color w:val="000000"/>
                <w:kern w:val="0"/>
                <w:sz w:val="21"/>
                <w:szCs w:val="21"/>
                <w:lang w:bidi="ar"/>
              </w:rPr>
              <w:t>绿化养护</w:t>
            </w:r>
          </w:p>
        </w:tc>
        <w:tc>
          <w:tcPr>
            <w:tcW w:w="3319" w:type="dxa"/>
            <w:vAlign w:val="center"/>
          </w:tcPr>
          <w:p w14:paraId="5694A76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1、养护等级：绿化二级养护</w:t>
            </w:r>
          </w:p>
          <w:p w14:paraId="65D4591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2、养护内容:修剪剥芽、施肥、病虫害防治、除草及树池维护、浇水排涝及防冻处理、保存率、卫生保洁、绿地保护及设施维护、安全生产、资料档案、发包人定期和不定期对承包范围巡查及其他。</w:t>
            </w:r>
          </w:p>
          <w:p w14:paraId="5BC86A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3、投标单价中包含更换草花的费用，根据甲方指令一年至少更换4次时令花卉（每次更换面积至少为660m²,100株/m²）</w:t>
            </w:r>
          </w:p>
          <w:p w14:paraId="3596B4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4</w:t>
            </w:r>
            <w:r>
              <w:rPr>
                <w:rFonts w:hint="eastAsia" w:ascii="宋体" w:hAnsi="宋体" w:cs="宋体"/>
                <w:color w:val="000000"/>
                <w:kern w:val="0"/>
                <w:sz w:val="21"/>
                <w:szCs w:val="21"/>
                <w:lang w:bidi="ar"/>
              </w:rPr>
              <w:t>、养护范围：包含但不限于西花园南绿化养护工程，卫生保洁、应急抢险、绿化保护等。</w:t>
            </w:r>
          </w:p>
          <w:p w14:paraId="1EC4D78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rPr>
                <w:rFonts w:hint="eastAsia" w:ascii="宋体" w:hAnsi="宋体"/>
                <w:color w:val="000000"/>
                <w:sz w:val="21"/>
                <w:szCs w:val="21"/>
                <w:u w:val="single"/>
              </w:rPr>
            </w:pPr>
            <w:r>
              <w:rPr>
                <w:rFonts w:hint="eastAsia" w:ascii="宋体" w:hAnsi="宋体" w:cs="宋体"/>
                <w:color w:val="000000"/>
                <w:kern w:val="0"/>
                <w:sz w:val="21"/>
                <w:szCs w:val="21"/>
                <w:lang w:val="en-US" w:eastAsia="zh-CN" w:bidi="ar"/>
              </w:rPr>
              <w:t>5</w:t>
            </w:r>
            <w:r>
              <w:rPr>
                <w:rFonts w:hint="eastAsia" w:ascii="宋体" w:hAnsi="宋体" w:cs="宋体"/>
                <w:color w:val="000000"/>
                <w:kern w:val="0"/>
                <w:sz w:val="21"/>
                <w:szCs w:val="21"/>
                <w:lang w:bidi="ar"/>
              </w:rPr>
              <w:t xml:space="preserve">、养护期：二级养护一年                        </w:t>
            </w:r>
            <w:r>
              <w:rPr>
                <w:rFonts w:hint="eastAsia" w:ascii="宋体" w:hAnsi="宋体" w:cs="宋体"/>
                <w:color w:val="000000"/>
                <w:kern w:val="0"/>
                <w:sz w:val="21"/>
                <w:szCs w:val="21"/>
                <w:lang w:val="en-US" w:eastAsia="zh-CN" w:bidi="ar"/>
              </w:rPr>
              <w:t>6</w:t>
            </w:r>
            <w:r>
              <w:rPr>
                <w:rFonts w:hint="eastAsia" w:ascii="宋体" w:hAnsi="宋体" w:cs="宋体"/>
                <w:color w:val="000000"/>
                <w:kern w:val="0"/>
                <w:sz w:val="21"/>
                <w:szCs w:val="21"/>
                <w:lang w:bidi="ar"/>
              </w:rPr>
              <w:t>、具体详见绿化养护二级标准标准</w:t>
            </w:r>
          </w:p>
        </w:tc>
        <w:tc>
          <w:tcPr>
            <w:tcW w:w="850" w:type="dxa"/>
            <w:vAlign w:val="center"/>
          </w:tcPr>
          <w:p w14:paraId="432740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000000"/>
                <w:sz w:val="21"/>
                <w:szCs w:val="21"/>
                <w:u w:val="single"/>
              </w:rPr>
            </w:pPr>
            <w:r>
              <w:rPr>
                <w:rFonts w:hint="eastAsia" w:ascii="宋体" w:hAnsi="宋体" w:cs="宋体"/>
                <w:color w:val="000000"/>
                <w:kern w:val="0"/>
                <w:sz w:val="21"/>
                <w:szCs w:val="21"/>
                <w:lang w:bidi="ar"/>
              </w:rPr>
              <w:t>m²</w:t>
            </w:r>
          </w:p>
        </w:tc>
        <w:tc>
          <w:tcPr>
            <w:tcW w:w="1452" w:type="dxa"/>
            <w:vAlign w:val="center"/>
          </w:tcPr>
          <w:p w14:paraId="3346CC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200000</w:t>
            </w:r>
          </w:p>
        </w:tc>
        <w:tc>
          <w:tcPr>
            <w:tcW w:w="1315" w:type="dxa"/>
            <w:vAlign w:val="center"/>
          </w:tcPr>
          <w:p w14:paraId="55D1061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color w:val="000000"/>
                <w:sz w:val="21"/>
                <w:szCs w:val="21"/>
                <w:u w:val="single"/>
              </w:rPr>
            </w:pPr>
          </w:p>
        </w:tc>
        <w:tc>
          <w:tcPr>
            <w:tcW w:w="1429" w:type="dxa"/>
            <w:vAlign w:val="center"/>
          </w:tcPr>
          <w:p w14:paraId="4FD2748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color w:val="000000"/>
                <w:sz w:val="21"/>
                <w:szCs w:val="21"/>
                <w:u w:val="single"/>
              </w:rPr>
            </w:pPr>
          </w:p>
        </w:tc>
      </w:tr>
      <w:tr w14:paraId="4FC1F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1" w:hRule="atLeast"/>
          <w:jc w:val="center"/>
        </w:trPr>
        <w:tc>
          <w:tcPr>
            <w:tcW w:w="8717" w:type="dxa"/>
            <w:gridSpan w:val="6"/>
            <w:vAlign w:val="center"/>
          </w:tcPr>
          <w:p w14:paraId="6300A78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color w:val="000000"/>
                <w:szCs w:val="21"/>
                <w:u w:val="single"/>
              </w:rPr>
            </w:pPr>
            <w:r>
              <w:rPr>
                <w:rFonts w:hint="eastAsia" w:ascii="宋体" w:hAnsi="宋体"/>
                <w:color w:val="000000"/>
                <w:szCs w:val="21"/>
              </w:rPr>
              <w:t>合 计</w:t>
            </w:r>
          </w:p>
        </w:tc>
        <w:tc>
          <w:tcPr>
            <w:tcW w:w="1429" w:type="dxa"/>
            <w:vAlign w:val="center"/>
          </w:tcPr>
          <w:p w14:paraId="56284C9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color w:val="000000"/>
                <w:szCs w:val="21"/>
                <w:u w:val="single"/>
              </w:rPr>
            </w:pPr>
          </w:p>
        </w:tc>
      </w:tr>
    </w:tbl>
    <w:p w14:paraId="10AE426C">
      <w:pPr>
        <w:shd w:val="clear" w:color="auto" w:fill="auto"/>
        <w:rPr>
          <w:rFonts w:hint="eastAsia" w:ascii="宋体" w:hAnsi="宋体" w:eastAsia="宋体" w:cs="宋体"/>
          <w:color w:val="000000"/>
          <w:szCs w:val="21"/>
        </w:rPr>
      </w:pPr>
    </w:p>
    <w:p w14:paraId="635925B8">
      <w:pPr>
        <w:shd w:val="clear" w:color="auto" w:fill="auto"/>
        <w:spacing w:line="360" w:lineRule="auto"/>
        <w:rPr>
          <w:rFonts w:hint="eastAsia" w:ascii="宋体" w:hAnsi="宋体" w:eastAsia="宋体" w:cs="宋体"/>
          <w:b/>
          <w:bCs/>
          <w:color w:val="000000"/>
          <w:szCs w:val="21"/>
        </w:rPr>
      </w:pPr>
      <w:r>
        <w:rPr>
          <w:rFonts w:hint="eastAsia" w:ascii="宋体" w:hAnsi="宋体" w:eastAsia="宋体" w:cs="宋体"/>
          <w:b/>
          <w:bCs/>
          <w:color w:val="000000"/>
          <w:szCs w:val="21"/>
        </w:rPr>
        <w:t>备注：投标报价包含税金等一切费用</w:t>
      </w:r>
    </w:p>
    <w:p w14:paraId="6AB24F94">
      <w:pPr>
        <w:spacing w:line="360" w:lineRule="auto"/>
        <w:ind w:firstLine="567" w:firstLineChars="270"/>
        <w:rPr>
          <w:rFonts w:hint="eastAsia" w:ascii="宋体" w:hAnsi="宋体" w:eastAsia="宋体" w:cs="宋体"/>
          <w:szCs w:val="21"/>
        </w:rPr>
      </w:pPr>
      <w:r>
        <w:rPr>
          <w:rFonts w:hint="eastAsia" w:ascii="宋体" w:hAnsi="宋体" w:eastAsia="宋体" w:cs="宋体"/>
          <w:szCs w:val="21"/>
        </w:rPr>
        <w:t xml:space="preserve">法定代表人或者授权代表（签字或盖章）：                    </w:t>
      </w:r>
    </w:p>
    <w:p w14:paraId="757B7A60">
      <w:pPr>
        <w:spacing w:line="360" w:lineRule="auto"/>
        <w:ind w:firstLine="567" w:firstLineChars="270"/>
        <w:rPr>
          <w:rFonts w:hint="eastAsia" w:ascii="宋体" w:hAnsi="宋体" w:eastAsia="宋体" w:cs="宋体"/>
          <w:szCs w:val="21"/>
          <w:u w:val="single"/>
        </w:rPr>
      </w:pPr>
      <w:r>
        <w:rPr>
          <w:rFonts w:hint="eastAsia" w:ascii="宋体" w:hAnsi="宋体" w:eastAsia="宋体" w:cs="宋体"/>
          <w:szCs w:val="21"/>
        </w:rPr>
        <w:t>磋商供应商全称（盖章）：</w:t>
      </w:r>
      <w:r>
        <w:rPr>
          <w:rFonts w:hint="eastAsia" w:ascii="宋体" w:hAnsi="宋体" w:eastAsia="宋体" w:cs="宋体"/>
          <w:szCs w:val="21"/>
          <w:u w:val="single"/>
        </w:rPr>
        <w:t xml:space="preserve">                         </w:t>
      </w:r>
    </w:p>
    <w:p w14:paraId="76F50907">
      <w:pPr>
        <w:spacing w:line="360" w:lineRule="auto"/>
        <w:ind w:firstLine="567" w:firstLineChars="270"/>
        <w:rPr>
          <w:rFonts w:hint="eastAsia" w:ascii="宋体" w:hAnsi="宋体" w:eastAsia="宋体" w:cs="宋体"/>
          <w:szCs w:val="21"/>
        </w:rPr>
      </w:pPr>
      <w:r>
        <w:rPr>
          <w:rFonts w:hint="eastAsia" w:ascii="宋体" w:hAnsi="宋体" w:eastAsia="宋体" w:cs="宋体"/>
          <w:szCs w:val="21"/>
        </w:rPr>
        <w:t>日期：    年   月    日</w:t>
      </w:r>
    </w:p>
    <w:p w14:paraId="1B2A259D">
      <w:pPr>
        <w:spacing w:line="360" w:lineRule="auto"/>
        <w:rPr>
          <w:rFonts w:hint="eastAsia" w:ascii="宋体" w:hAnsi="宋体" w:eastAsia="宋体" w:cs="宋体"/>
          <w:iCs/>
          <w:szCs w:val="21"/>
        </w:rPr>
      </w:pPr>
    </w:p>
    <w:p w14:paraId="68D0A2E2">
      <w:pPr>
        <w:spacing w:line="360" w:lineRule="auto"/>
        <w:rPr>
          <w:rFonts w:hint="eastAsia" w:ascii="宋体" w:hAnsi="宋体" w:eastAsia="宋体" w:cs="宋体"/>
          <w:szCs w:val="21"/>
        </w:rPr>
      </w:pPr>
    </w:p>
    <w:p w14:paraId="560D2991">
      <w:pPr>
        <w:spacing w:line="360" w:lineRule="auto"/>
        <w:rPr>
          <w:rFonts w:hint="eastAsia" w:ascii="宋体" w:hAnsi="宋体" w:eastAsia="宋体" w:cs="宋体"/>
          <w:szCs w:val="21"/>
        </w:rPr>
      </w:pPr>
    </w:p>
    <w:p w14:paraId="05C732EC">
      <w:pPr>
        <w:spacing w:line="360" w:lineRule="auto"/>
        <w:jc w:val="center"/>
        <w:rPr>
          <w:rFonts w:hint="eastAsia" w:ascii="宋体" w:hAnsi="宋体" w:eastAsia="宋体" w:cs="宋体"/>
          <w:b/>
          <w:kern w:val="1"/>
          <w:szCs w:val="21"/>
        </w:rPr>
      </w:pPr>
      <w:r>
        <w:rPr>
          <w:rFonts w:hint="eastAsia" w:ascii="宋体" w:hAnsi="宋体" w:eastAsia="宋体" w:cs="宋体"/>
          <w:b/>
          <w:bCs/>
          <w:szCs w:val="21"/>
        </w:rPr>
        <w:br w:type="page"/>
      </w:r>
      <w:r>
        <w:rPr>
          <w:rFonts w:hint="eastAsia" w:ascii="宋体" w:hAnsi="宋体" w:eastAsia="宋体" w:cs="宋体"/>
          <w:b/>
          <w:sz w:val="24"/>
        </w:rPr>
        <w:t>五、响应偏离表</w:t>
      </w:r>
    </w:p>
    <w:p w14:paraId="5E471712">
      <w:pPr>
        <w:spacing w:line="360" w:lineRule="auto"/>
        <w:rPr>
          <w:rFonts w:hint="eastAsia" w:ascii="宋体" w:hAnsi="宋体" w:eastAsia="宋体" w:cs="宋体"/>
          <w:bCs/>
          <w:szCs w:val="21"/>
        </w:rPr>
      </w:pPr>
      <w:r>
        <w:rPr>
          <w:rFonts w:hint="eastAsia" w:ascii="宋体" w:hAnsi="宋体" w:eastAsia="宋体" w:cs="宋体"/>
          <w:bCs/>
          <w:szCs w:val="21"/>
        </w:rPr>
        <w:t>供应商全称（加盖公章）：</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2325"/>
        <w:gridCol w:w="1642"/>
        <w:gridCol w:w="1642"/>
        <w:gridCol w:w="1643"/>
        <w:gridCol w:w="1643"/>
      </w:tblGrid>
      <w:tr w14:paraId="7A2F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exact"/>
          <w:jc w:val="center"/>
        </w:trPr>
        <w:tc>
          <w:tcPr>
            <w:tcW w:w="959" w:type="dxa"/>
            <w:vAlign w:val="center"/>
          </w:tcPr>
          <w:p w14:paraId="5E125339">
            <w:pPr>
              <w:keepNext w:val="0"/>
              <w:keepLines w:val="0"/>
              <w:suppressLineNumbers w:val="0"/>
              <w:spacing w:before="0" w:beforeAutospacing="0" w:after="0" w:afterAutospacing="0" w:line="320" w:lineRule="exact"/>
              <w:ind w:left="0" w:right="0"/>
              <w:jc w:val="center"/>
              <w:rPr>
                <w:rFonts w:hint="eastAsia" w:ascii="宋体" w:hAnsi="宋体" w:cs="宋体"/>
                <w:color w:val="000000"/>
                <w:szCs w:val="21"/>
              </w:rPr>
            </w:pPr>
            <w:r>
              <w:rPr>
                <w:rFonts w:hint="eastAsia" w:ascii="宋体" w:hAnsi="宋体" w:cs="宋体"/>
                <w:color w:val="000000"/>
                <w:szCs w:val="21"/>
              </w:rPr>
              <w:t>序号</w:t>
            </w:r>
          </w:p>
        </w:tc>
        <w:tc>
          <w:tcPr>
            <w:tcW w:w="2325" w:type="dxa"/>
            <w:vAlign w:val="center"/>
          </w:tcPr>
          <w:p w14:paraId="79981390">
            <w:pPr>
              <w:keepNext w:val="0"/>
              <w:keepLines w:val="0"/>
              <w:suppressLineNumbers w:val="0"/>
              <w:spacing w:before="0" w:beforeAutospacing="0" w:after="0" w:afterAutospacing="0" w:line="320" w:lineRule="exact"/>
              <w:ind w:left="0" w:right="0"/>
              <w:jc w:val="center"/>
              <w:rPr>
                <w:rFonts w:hint="eastAsia" w:ascii="宋体" w:hAnsi="宋体" w:cs="宋体"/>
                <w:color w:val="000000"/>
                <w:szCs w:val="21"/>
              </w:rPr>
            </w:pPr>
            <w:r>
              <w:rPr>
                <w:rFonts w:hint="eastAsia" w:ascii="宋体" w:hAnsi="宋体" w:cs="宋体"/>
                <w:color w:val="000000"/>
                <w:szCs w:val="21"/>
              </w:rPr>
              <w:t>项目</w:t>
            </w:r>
          </w:p>
        </w:tc>
        <w:tc>
          <w:tcPr>
            <w:tcW w:w="1642" w:type="dxa"/>
            <w:vAlign w:val="center"/>
          </w:tcPr>
          <w:p w14:paraId="0F625177">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rPr>
            </w:pPr>
            <w:r>
              <w:rPr>
                <w:rFonts w:hint="eastAsia" w:ascii="宋体" w:hAnsi="宋体" w:cs="宋体"/>
                <w:color w:val="000000"/>
                <w:szCs w:val="21"/>
              </w:rPr>
              <w:t>磋商要求</w:t>
            </w:r>
          </w:p>
        </w:tc>
        <w:tc>
          <w:tcPr>
            <w:tcW w:w="1642" w:type="dxa"/>
            <w:vAlign w:val="center"/>
          </w:tcPr>
          <w:p w14:paraId="3AEEE054">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rPr>
            </w:pPr>
            <w:r>
              <w:rPr>
                <w:rFonts w:hint="eastAsia" w:ascii="宋体" w:hAnsi="宋体" w:cs="宋体"/>
                <w:color w:val="000000"/>
                <w:szCs w:val="21"/>
              </w:rPr>
              <w:t>响应承诺</w:t>
            </w:r>
          </w:p>
        </w:tc>
        <w:tc>
          <w:tcPr>
            <w:tcW w:w="1643" w:type="dxa"/>
            <w:vAlign w:val="center"/>
          </w:tcPr>
          <w:p w14:paraId="687C03AE">
            <w:pPr>
              <w:keepNext w:val="0"/>
              <w:keepLines w:val="0"/>
              <w:suppressLineNumbers w:val="0"/>
              <w:spacing w:before="0" w:beforeAutospacing="0" w:after="0" w:afterAutospacing="0" w:line="320" w:lineRule="exact"/>
              <w:ind w:left="0" w:right="0"/>
              <w:jc w:val="center"/>
              <w:rPr>
                <w:rFonts w:hint="eastAsia" w:ascii="宋体" w:hAnsi="宋体" w:cs="宋体"/>
                <w:color w:val="000000"/>
                <w:szCs w:val="21"/>
              </w:rPr>
            </w:pPr>
            <w:r>
              <w:rPr>
                <w:rFonts w:hint="eastAsia" w:ascii="宋体" w:hAnsi="宋体" w:cs="宋体"/>
                <w:color w:val="000000"/>
                <w:szCs w:val="21"/>
              </w:rPr>
              <w:t>超出、符</w:t>
            </w:r>
          </w:p>
          <w:p w14:paraId="154540F0">
            <w:pPr>
              <w:keepNext w:val="0"/>
              <w:keepLines w:val="0"/>
              <w:suppressLineNumbers w:val="0"/>
              <w:spacing w:before="0" w:beforeAutospacing="0" w:after="0" w:afterAutospacing="0" w:line="320" w:lineRule="exact"/>
              <w:ind w:left="0" w:right="0"/>
              <w:jc w:val="center"/>
              <w:rPr>
                <w:rFonts w:hint="eastAsia" w:ascii="宋体" w:hAnsi="宋体" w:cs="宋体"/>
                <w:color w:val="000000"/>
                <w:szCs w:val="21"/>
              </w:rPr>
            </w:pPr>
            <w:r>
              <w:rPr>
                <w:rFonts w:hint="eastAsia" w:ascii="宋体" w:hAnsi="宋体" w:cs="宋体"/>
                <w:color w:val="000000"/>
                <w:szCs w:val="21"/>
              </w:rPr>
              <w:t>合或偏离</w:t>
            </w:r>
          </w:p>
        </w:tc>
        <w:tc>
          <w:tcPr>
            <w:tcW w:w="1643" w:type="dxa"/>
            <w:vAlign w:val="center"/>
          </w:tcPr>
          <w:p w14:paraId="1861659B">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rPr>
            </w:pPr>
            <w:r>
              <w:rPr>
                <w:rFonts w:hint="eastAsia" w:ascii="宋体" w:hAnsi="宋体" w:cs="宋体"/>
                <w:color w:val="000000"/>
                <w:szCs w:val="21"/>
              </w:rPr>
              <w:t>证明材料</w:t>
            </w:r>
          </w:p>
        </w:tc>
      </w:tr>
      <w:tr w14:paraId="705E2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179B43BF">
            <w:pPr>
              <w:keepNext w:val="0"/>
              <w:keepLines w:val="0"/>
              <w:suppressLineNumbers w:val="0"/>
              <w:spacing w:before="0" w:beforeAutospacing="0" w:after="0" w:afterAutospacing="0" w:line="320" w:lineRule="exact"/>
              <w:ind w:left="0" w:right="0"/>
              <w:rPr>
                <w:rFonts w:hint="eastAsia" w:ascii="宋体" w:hAnsi="宋体" w:cs="宋体"/>
                <w:color w:val="000000"/>
                <w:szCs w:val="21"/>
              </w:rPr>
            </w:pPr>
          </w:p>
        </w:tc>
        <w:tc>
          <w:tcPr>
            <w:tcW w:w="2325" w:type="dxa"/>
            <w:vAlign w:val="top"/>
          </w:tcPr>
          <w:p w14:paraId="2FBFF22E">
            <w:pPr>
              <w:keepNext w:val="0"/>
              <w:keepLines w:val="0"/>
              <w:suppressLineNumbers w:val="0"/>
              <w:spacing w:before="0" w:beforeAutospacing="0" w:after="0" w:afterAutospacing="0" w:line="320" w:lineRule="exact"/>
              <w:ind w:left="0" w:right="0"/>
              <w:jc w:val="center"/>
              <w:rPr>
                <w:rFonts w:hint="eastAsia" w:ascii="宋体" w:hAnsi="宋体" w:cs="宋体"/>
                <w:color w:val="000000"/>
                <w:szCs w:val="21"/>
              </w:rPr>
            </w:pPr>
            <w:r>
              <w:rPr>
                <w:rFonts w:hint="eastAsia" w:ascii="宋体" w:hAnsi="宋体" w:cs="宋体"/>
                <w:color w:val="000000"/>
                <w:szCs w:val="21"/>
              </w:rPr>
              <w:t>合同履行期</w:t>
            </w:r>
          </w:p>
        </w:tc>
        <w:tc>
          <w:tcPr>
            <w:tcW w:w="1642" w:type="dxa"/>
            <w:vAlign w:val="top"/>
          </w:tcPr>
          <w:p w14:paraId="756A007A">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2" w:type="dxa"/>
            <w:vAlign w:val="top"/>
          </w:tcPr>
          <w:p w14:paraId="7B8A1B07">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46D2206F">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2D37E6E8">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r>
      <w:tr w14:paraId="6A830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2696F054">
            <w:pPr>
              <w:keepNext w:val="0"/>
              <w:keepLines w:val="0"/>
              <w:suppressLineNumbers w:val="0"/>
              <w:spacing w:before="0" w:beforeAutospacing="0" w:after="0" w:afterAutospacing="0" w:line="320" w:lineRule="exact"/>
              <w:ind w:left="0" w:right="0"/>
              <w:rPr>
                <w:rFonts w:hint="eastAsia" w:ascii="宋体" w:hAnsi="宋体" w:cs="宋体"/>
                <w:color w:val="000000"/>
                <w:szCs w:val="21"/>
              </w:rPr>
            </w:pPr>
          </w:p>
        </w:tc>
        <w:tc>
          <w:tcPr>
            <w:tcW w:w="2325" w:type="dxa"/>
            <w:vAlign w:val="top"/>
          </w:tcPr>
          <w:p w14:paraId="60701E80">
            <w:pPr>
              <w:keepNext w:val="0"/>
              <w:keepLines w:val="0"/>
              <w:suppressLineNumbers w:val="0"/>
              <w:spacing w:before="0" w:beforeAutospacing="0" w:after="0" w:afterAutospacing="0" w:line="320" w:lineRule="exact"/>
              <w:ind w:left="0" w:right="0"/>
              <w:jc w:val="center"/>
              <w:rPr>
                <w:rFonts w:hint="eastAsia" w:ascii="宋体" w:hAnsi="宋体" w:cs="宋体"/>
                <w:color w:val="000000"/>
                <w:szCs w:val="21"/>
              </w:rPr>
            </w:pPr>
            <w:r>
              <w:rPr>
                <w:rFonts w:hint="eastAsia" w:ascii="宋体" w:hAnsi="宋体" w:cs="宋体"/>
                <w:color w:val="000000"/>
                <w:szCs w:val="21"/>
              </w:rPr>
              <w:t>服务地点</w:t>
            </w:r>
          </w:p>
        </w:tc>
        <w:tc>
          <w:tcPr>
            <w:tcW w:w="1642" w:type="dxa"/>
            <w:vAlign w:val="top"/>
          </w:tcPr>
          <w:p w14:paraId="6B36810E">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2" w:type="dxa"/>
            <w:vAlign w:val="top"/>
          </w:tcPr>
          <w:p w14:paraId="1F253330">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45E59ECA">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26F9D61B">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r>
      <w:tr w14:paraId="336E4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0B8BB5B7">
            <w:pPr>
              <w:keepNext w:val="0"/>
              <w:keepLines w:val="0"/>
              <w:suppressLineNumbers w:val="0"/>
              <w:spacing w:before="0" w:beforeAutospacing="0" w:after="0" w:afterAutospacing="0" w:line="320" w:lineRule="exact"/>
              <w:ind w:left="0" w:right="0"/>
              <w:rPr>
                <w:rFonts w:hint="eastAsia" w:ascii="宋体" w:hAnsi="宋体" w:cs="宋体"/>
                <w:color w:val="000000"/>
                <w:szCs w:val="21"/>
              </w:rPr>
            </w:pPr>
          </w:p>
        </w:tc>
        <w:tc>
          <w:tcPr>
            <w:tcW w:w="2325" w:type="dxa"/>
            <w:vAlign w:val="top"/>
          </w:tcPr>
          <w:p w14:paraId="3F895F5B">
            <w:pPr>
              <w:keepNext w:val="0"/>
              <w:keepLines w:val="0"/>
              <w:suppressLineNumbers w:val="0"/>
              <w:spacing w:before="0" w:beforeAutospacing="0" w:after="0" w:afterAutospacing="0" w:line="320" w:lineRule="exact"/>
              <w:ind w:left="0" w:right="0"/>
              <w:jc w:val="center"/>
              <w:rPr>
                <w:rFonts w:hint="eastAsia" w:ascii="宋体" w:hAnsi="宋体" w:cs="宋体"/>
                <w:color w:val="000000"/>
                <w:szCs w:val="21"/>
              </w:rPr>
            </w:pPr>
            <w:r>
              <w:rPr>
                <w:rFonts w:hint="eastAsia" w:ascii="宋体" w:hAnsi="宋体" w:cs="宋体"/>
                <w:color w:val="000000"/>
                <w:szCs w:val="21"/>
              </w:rPr>
              <w:t>服务方式</w:t>
            </w:r>
          </w:p>
        </w:tc>
        <w:tc>
          <w:tcPr>
            <w:tcW w:w="1642" w:type="dxa"/>
            <w:vAlign w:val="top"/>
          </w:tcPr>
          <w:p w14:paraId="2EAE4340">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2" w:type="dxa"/>
            <w:vAlign w:val="top"/>
          </w:tcPr>
          <w:p w14:paraId="07BFB74F">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7D03633C">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4C0D6B91">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r>
      <w:tr w14:paraId="1705E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01A9C636">
            <w:pPr>
              <w:keepNext w:val="0"/>
              <w:keepLines w:val="0"/>
              <w:suppressLineNumbers w:val="0"/>
              <w:spacing w:before="0" w:beforeAutospacing="0" w:after="0" w:afterAutospacing="0" w:line="320" w:lineRule="exact"/>
              <w:ind w:left="0" w:right="0"/>
              <w:rPr>
                <w:rFonts w:hint="eastAsia" w:ascii="宋体" w:hAnsi="宋体" w:cs="宋体"/>
                <w:color w:val="000000"/>
                <w:szCs w:val="21"/>
              </w:rPr>
            </w:pPr>
          </w:p>
        </w:tc>
        <w:tc>
          <w:tcPr>
            <w:tcW w:w="2325" w:type="dxa"/>
            <w:vAlign w:val="top"/>
          </w:tcPr>
          <w:p w14:paraId="29A7D217">
            <w:pPr>
              <w:keepNext w:val="0"/>
              <w:keepLines w:val="0"/>
              <w:suppressLineNumbers w:val="0"/>
              <w:spacing w:before="0" w:beforeAutospacing="0" w:after="0" w:afterAutospacing="0" w:line="320" w:lineRule="exact"/>
              <w:ind w:left="0" w:right="0"/>
              <w:jc w:val="center"/>
              <w:rPr>
                <w:rFonts w:hint="eastAsia" w:ascii="宋体" w:hAnsi="宋体" w:cs="宋体"/>
                <w:color w:val="000000"/>
                <w:szCs w:val="21"/>
              </w:rPr>
            </w:pPr>
            <w:r>
              <w:rPr>
                <w:rFonts w:hint="eastAsia" w:ascii="宋体" w:hAnsi="宋体" w:cs="宋体"/>
                <w:color w:val="000000"/>
                <w:szCs w:val="21"/>
              </w:rPr>
              <w:t>付款方式</w:t>
            </w:r>
          </w:p>
        </w:tc>
        <w:tc>
          <w:tcPr>
            <w:tcW w:w="1642" w:type="dxa"/>
            <w:vAlign w:val="top"/>
          </w:tcPr>
          <w:p w14:paraId="2B9CE17A">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2" w:type="dxa"/>
            <w:vAlign w:val="top"/>
          </w:tcPr>
          <w:p w14:paraId="19146E60">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40276969">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48BB839C">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r>
      <w:tr w14:paraId="00752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5B214718">
            <w:pPr>
              <w:keepNext w:val="0"/>
              <w:keepLines w:val="0"/>
              <w:suppressLineNumbers w:val="0"/>
              <w:spacing w:before="0" w:beforeAutospacing="0" w:after="0" w:afterAutospacing="0" w:line="320" w:lineRule="exact"/>
              <w:ind w:left="0" w:right="0"/>
              <w:rPr>
                <w:rFonts w:hint="eastAsia" w:ascii="宋体" w:hAnsi="宋体" w:cs="宋体"/>
                <w:color w:val="000000"/>
                <w:szCs w:val="21"/>
              </w:rPr>
            </w:pPr>
          </w:p>
        </w:tc>
        <w:tc>
          <w:tcPr>
            <w:tcW w:w="2325" w:type="dxa"/>
            <w:vAlign w:val="top"/>
          </w:tcPr>
          <w:p w14:paraId="6A261B6C">
            <w:pPr>
              <w:keepNext w:val="0"/>
              <w:keepLines w:val="0"/>
              <w:suppressLineNumbers w:val="0"/>
              <w:spacing w:before="0" w:beforeAutospacing="0" w:after="0" w:afterAutospacing="0" w:line="320" w:lineRule="exact"/>
              <w:ind w:left="0" w:right="0"/>
              <w:jc w:val="center"/>
              <w:rPr>
                <w:rFonts w:hint="eastAsia" w:ascii="宋体" w:hAnsi="宋体" w:cs="宋体"/>
                <w:color w:val="000000"/>
                <w:szCs w:val="21"/>
              </w:rPr>
            </w:pPr>
            <w:r>
              <w:rPr>
                <w:rFonts w:hint="eastAsia" w:ascii="宋体" w:hAnsi="宋体" w:cs="宋体"/>
                <w:color w:val="000000"/>
                <w:szCs w:val="21"/>
              </w:rPr>
              <w:t>磋商响应货币</w:t>
            </w:r>
          </w:p>
        </w:tc>
        <w:tc>
          <w:tcPr>
            <w:tcW w:w="1642" w:type="dxa"/>
            <w:vAlign w:val="top"/>
          </w:tcPr>
          <w:p w14:paraId="5867CA1E">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2" w:type="dxa"/>
            <w:vAlign w:val="top"/>
          </w:tcPr>
          <w:p w14:paraId="502FBB05">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7C3FDA4B">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5BFDC3CA">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r>
      <w:tr w14:paraId="32E3A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39E8663F">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2325" w:type="dxa"/>
            <w:vAlign w:val="top"/>
          </w:tcPr>
          <w:p w14:paraId="6801D825">
            <w:pPr>
              <w:keepNext w:val="0"/>
              <w:keepLines w:val="0"/>
              <w:suppressLineNumbers w:val="0"/>
              <w:spacing w:before="0" w:beforeAutospacing="0" w:after="0" w:afterAutospacing="0" w:line="320" w:lineRule="exact"/>
              <w:ind w:left="0" w:right="0"/>
              <w:jc w:val="center"/>
              <w:rPr>
                <w:rFonts w:hint="eastAsia" w:ascii="宋体" w:hAnsi="宋体" w:cs="宋体"/>
                <w:color w:val="000000"/>
                <w:szCs w:val="21"/>
              </w:rPr>
            </w:pPr>
            <w:r>
              <w:rPr>
                <w:rFonts w:hint="eastAsia" w:ascii="宋体" w:hAnsi="宋体" w:cs="宋体"/>
                <w:color w:val="000000"/>
                <w:szCs w:val="21"/>
              </w:rPr>
              <w:t xml:space="preserve">……    </w:t>
            </w:r>
          </w:p>
        </w:tc>
        <w:tc>
          <w:tcPr>
            <w:tcW w:w="1642" w:type="dxa"/>
            <w:vAlign w:val="top"/>
          </w:tcPr>
          <w:p w14:paraId="7E0D00B2">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2" w:type="dxa"/>
            <w:vAlign w:val="top"/>
          </w:tcPr>
          <w:p w14:paraId="4946F0C4">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6F96B32D">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51315B25">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r>
      <w:tr w14:paraId="279C5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vAlign w:val="top"/>
          </w:tcPr>
          <w:p w14:paraId="6D5CC817">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2325" w:type="dxa"/>
            <w:vAlign w:val="top"/>
          </w:tcPr>
          <w:p w14:paraId="6E8C1C07">
            <w:pPr>
              <w:keepNext w:val="0"/>
              <w:keepLines w:val="0"/>
              <w:suppressLineNumbers w:val="0"/>
              <w:spacing w:before="0" w:beforeAutospacing="0" w:after="0" w:afterAutospacing="0" w:line="320" w:lineRule="exact"/>
              <w:ind w:left="0" w:right="0"/>
              <w:jc w:val="center"/>
              <w:rPr>
                <w:rFonts w:hint="eastAsia" w:ascii="宋体" w:hAnsi="宋体" w:cs="宋体"/>
                <w:color w:val="000000"/>
                <w:szCs w:val="21"/>
              </w:rPr>
            </w:pPr>
            <w:r>
              <w:rPr>
                <w:rFonts w:hint="eastAsia" w:ascii="宋体" w:hAnsi="宋体" w:cs="宋体"/>
                <w:color w:val="000000"/>
                <w:szCs w:val="21"/>
              </w:rPr>
              <w:t>其他</w:t>
            </w:r>
          </w:p>
        </w:tc>
        <w:tc>
          <w:tcPr>
            <w:tcW w:w="1642" w:type="dxa"/>
            <w:vAlign w:val="top"/>
          </w:tcPr>
          <w:p w14:paraId="6CBA2993">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2" w:type="dxa"/>
            <w:vAlign w:val="top"/>
          </w:tcPr>
          <w:p w14:paraId="1C2E9654">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10586A09">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c>
          <w:tcPr>
            <w:tcW w:w="1643" w:type="dxa"/>
            <w:vAlign w:val="top"/>
          </w:tcPr>
          <w:p w14:paraId="26A8F61E">
            <w:pPr>
              <w:keepNext w:val="0"/>
              <w:keepLines w:val="0"/>
              <w:suppressLineNumbers w:val="0"/>
              <w:spacing w:before="0" w:beforeAutospacing="0" w:after="0" w:afterAutospacing="0" w:line="360" w:lineRule="auto"/>
              <w:ind w:left="0" w:right="0"/>
              <w:rPr>
                <w:rFonts w:hint="eastAsia" w:ascii="宋体" w:hAnsi="宋体" w:cs="宋体"/>
                <w:color w:val="000000"/>
                <w:szCs w:val="21"/>
              </w:rPr>
            </w:pPr>
          </w:p>
        </w:tc>
      </w:tr>
    </w:tbl>
    <w:p w14:paraId="2F10A501">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Cs/>
          <w:szCs w:val="21"/>
        </w:rPr>
      </w:pPr>
      <w:r>
        <w:rPr>
          <w:rFonts w:hint="eastAsia" w:ascii="宋体" w:hAnsi="宋体" w:eastAsia="宋体" w:cs="宋体"/>
          <w:bCs/>
          <w:szCs w:val="21"/>
        </w:rPr>
        <w:t>法定代表人或授权代表（签字或盖章）：</w:t>
      </w:r>
      <w:r>
        <w:rPr>
          <w:rFonts w:hint="eastAsia" w:ascii="宋体" w:hAnsi="宋体" w:eastAsia="宋体" w:cs="宋体"/>
          <w:bCs/>
          <w:szCs w:val="21"/>
          <w:u w:val="single"/>
        </w:rPr>
        <w:t xml:space="preserve">         </w:t>
      </w:r>
    </w:p>
    <w:p w14:paraId="57922C36">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Cs/>
          <w:szCs w:val="21"/>
        </w:rPr>
      </w:pPr>
      <w:r>
        <w:rPr>
          <w:rFonts w:hint="eastAsia" w:ascii="宋体" w:hAnsi="宋体" w:eastAsia="宋体" w:cs="宋体"/>
          <w:bCs/>
          <w:szCs w:val="21"/>
        </w:rPr>
        <w:t>磋商供应商全称（盖章）：</w:t>
      </w:r>
    </w:p>
    <w:p w14:paraId="539F08F7">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Cs/>
          <w:szCs w:val="21"/>
        </w:rPr>
      </w:pPr>
      <w:r>
        <w:rPr>
          <w:rFonts w:hint="eastAsia" w:ascii="宋体" w:hAnsi="宋体" w:eastAsia="宋体" w:cs="宋体"/>
          <w:bCs/>
          <w:szCs w:val="21"/>
        </w:rPr>
        <w:t>日   期：  年   月  日</w:t>
      </w:r>
    </w:p>
    <w:p w14:paraId="399604D7">
      <w:pPr>
        <w:spacing w:line="360" w:lineRule="auto"/>
        <w:rPr>
          <w:rFonts w:hint="eastAsia" w:ascii="宋体" w:hAnsi="宋体" w:eastAsia="宋体" w:cs="宋体"/>
          <w:b/>
          <w:szCs w:val="21"/>
        </w:rPr>
      </w:pPr>
    </w:p>
    <w:p w14:paraId="598F6388">
      <w:pPr>
        <w:spacing w:line="360" w:lineRule="auto"/>
        <w:rPr>
          <w:rFonts w:hint="eastAsia" w:ascii="宋体" w:hAnsi="宋体" w:eastAsia="宋体" w:cs="宋体"/>
          <w:szCs w:val="21"/>
        </w:rPr>
      </w:pPr>
      <w:r>
        <w:rPr>
          <w:rFonts w:hint="eastAsia" w:ascii="宋体" w:hAnsi="宋体" w:eastAsia="宋体" w:cs="宋体"/>
          <w:szCs w:val="21"/>
        </w:rPr>
        <w:t>注：供应商应按照磋商文件中要求的技术要求指标逐项、详细、真实的填写。行数不够可以添加，有具体参数的应填写详细参数，否则该响应文件可能被拒绝。</w:t>
      </w:r>
    </w:p>
    <w:p w14:paraId="505ECDBD">
      <w:pPr>
        <w:spacing w:line="360" w:lineRule="auto"/>
        <w:jc w:val="center"/>
        <w:rPr>
          <w:rFonts w:hint="eastAsia" w:ascii="宋体" w:hAnsi="宋体" w:eastAsia="宋体" w:cs="宋体"/>
          <w:b/>
          <w:kern w:val="1"/>
          <w:szCs w:val="21"/>
        </w:rPr>
      </w:pPr>
      <w:r>
        <w:rPr>
          <w:rFonts w:hint="eastAsia" w:ascii="宋体" w:hAnsi="宋体" w:eastAsia="宋体" w:cs="宋体"/>
          <w:szCs w:val="21"/>
        </w:rPr>
        <w:br w:type="page"/>
      </w:r>
    </w:p>
    <w:p w14:paraId="7EF7D26D">
      <w:pPr>
        <w:spacing w:line="360" w:lineRule="auto"/>
        <w:jc w:val="center"/>
        <w:rPr>
          <w:rFonts w:hint="eastAsia" w:ascii="宋体" w:hAnsi="宋体" w:eastAsia="宋体" w:cs="宋体"/>
          <w:b/>
          <w:sz w:val="24"/>
        </w:rPr>
      </w:pPr>
      <w:r>
        <w:rPr>
          <w:rFonts w:hint="eastAsia" w:ascii="宋体" w:hAnsi="宋体" w:eastAsia="宋体" w:cs="宋体"/>
          <w:b/>
          <w:sz w:val="24"/>
        </w:rPr>
        <w:t>六、项目</w:t>
      </w:r>
      <w:r>
        <w:rPr>
          <w:rFonts w:hint="eastAsia" w:ascii="宋体" w:hAnsi="宋体" w:eastAsia="宋体" w:cs="宋体"/>
          <w:b/>
          <w:sz w:val="24"/>
          <w:lang w:val="en-US" w:eastAsia="zh-CN"/>
        </w:rPr>
        <w:t>养护</w:t>
      </w:r>
      <w:r>
        <w:rPr>
          <w:rFonts w:hint="eastAsia" w:ascii="宋体" w:hAnsi="宋体" w:eastAsia="宋体" w:cs="宋体"/>
          <w:b/>
          <w:sz w:val="24"/>
        </w:rPr>
        <w:t>方案</w:t>
      </w:r>
    </w:p>
    <w:p w14:paraId="11B2B5D6">
      <w:pPr>
        <w:spacing w:line="360" w:lineRule="auto"/>
        <w:jc w:val="center"/>
        <w:rPr>
          <w:rFonts w:hint="eastAsia" w:ascii="宋体" w:hAnsi="宋体" w:cs="宋体"/>
          <w:color w:val="000000"/>
          <w:szCs w:val="21"/>
        </w:rPr>
      </w:pPr>
      <w:r>
        <w:rPr>
          <w:rFonts w:hint="eastAsia" w:ascii="宋体" w:hAnsi="宋体" w:cs="宋体"/>
          <w:color w:val="000000"/>
          <w:szCs w:val="21"/>
        </w:rPr>
        <w:t>（供应商根据评分细则自行编制）</w:t>
      </w:r>
    </w:p>
    <w:p w14:paraId="0FF2DF0C">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lang w:val="en-US" w:eastAsia="zh-CN"/>
        </w:rPr>
        <w:t>七</w:t>
      </w:r>
      <w:r>
        <w:rPr>
          <w:rFonts w:hint="eastAsia" w:ascii="宋体" w:hAnsi="宋体" w:eastAsia="宋体" w:cs="宋体"/>
          <w:b/>
          <w:color w:val="000000"/>
          <w:szCs w:val="21"/>
        </w:rPr>
        <w:t>、其他</w:t>
      </w:r>
    </w:p>
    <w:p w14:paraId="1040B752">
      <w:pPr>
        <w:spacing w:line="360"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rPr>
        <w:t>（根据招标文件的要求和投标人认为需要提供的资料）</w:t>
      </w:r>
    </w:p>
    <w:p w14:paraId="6BC70248">
      <w:pPr>
        <w:spacing w:line="360" w:lineRule="auto"/>
        <w:jc w:val="left"/>
        <w:rPr>
          <w:rFonts w:hint="eastAsia" w:ascii="宋体" w:hAnsi="宋体" w:eastAsia="宋体" w:cs="宋体"/>
          <w:b/>
          <w:bCs/>
          <w:sz w:val="28"/>
          <w:szCs w:val="28"/>
        </w:rPr>
      </w:pPr>
      <w:r>
        <w:rPr>
          <w:rFonts w:hint="eastAsia" w:ascii="宋体" w:hAnsi="宋体" w:eastAsia="宋体" w:cs="宋体"/>
          <w:szCs w:val="21"/>
        </w:rPr>
        <w:br w:type="page"/>
      </w:r>
      <w:r>
        <w:rPr>
          <w:rFonts w:hint="eastAsia" w:ascii="宋体" w:hAnsi="宋体" w:eastAsia="宋体" w:cs="宋体"/>
          <w:b/>
          <w:bCs/>
          <w:sz w:val="28"/>
          <w:szCs w:val="28"/>
        </w:rPr>
        <w:t>附表1：</w:t>
      </w:r>
    </w:p>
    <w:p w14:paraId="40DA6121">
      <w:pPr>
        <w:spacing w:line="360" w:lineRule="auto"/>
        <w:jc w:val="center"/>
        <w:rPr>
          <w:rFonts w:hint="eastAsia" w:ascii="宋体" w:hAnsi="宋体" w:eastAsia="宋体" w:cs="宋体"/>
          <w:b/>
          <w:sz w:val="32"/>
          <w:szCs w:val="32"/>
        </w:rPr>
      </w:pPr>
      <w:r>
        <w:rPr>
          <w:rFonts w:hint="eastAsia" w:ascii="宋体" w:hAnsi="宋体" w:eastAsia="宋体" w:cs="宋体"/>
          <w:b/>
          <w:sz w:val="28"/>
          <w:szCs w:val="28"/>
        </w:rPr>
        <w:t>供应商参加磋商确认函</w:t>
      </w:r>
    </w:p>
    <w:p w14:paraId="243486AC">
      <w:pPr>
        <w:spacing w:line="360" w:lineRule="auto"/>
        <w:rPr>
          <w:rFonts w:hint="eastAsia" w:ascii="宋体" w:hAnsi="宋体" w:eastAsia="宋体" w:cs="宋体"/>
          <w:szCs w:val="21"/>
        </w:rPr>
      </w:pPr>
      <w:r>
        <w:rPr>
          <w:rFonts w:hint="eastAsia" w:ascii="宋体" w:hAnsi="宋体" w:eastAsia="宋体" w:cs="宋体"/>
          <w:szCs w:val="21"/>
          <w:lang w:eastAsia="zh-CN"/>
        </w:rPr>
        <w:t>江苏志诚工程咨询管理有限公司</w:t>
      </w:r>
      <w:r>
        <w:rPr>
          <w:rFonts w:hint="eastAsia" w:ascii="宋体" w:hAnsi="宋体" w:eastAsia="宋体" w:cs="宋体"/>
          <w:szCs w:val="21"/>
        </w:rPr>
        <w:t>：</w:t>
      </w:r>
    </w:p>
    <w:p w14:paraId="0FE714F0">
      <w:pPr>
        <w:widowControl/>
        <w:spacing w:line="360" w:lineRule="auto"/>
        <w:jc w:val="left"/>
        <w:rPr>
          <w:rFonts w:hint="eastAsia" w:ascii="宋体" w:hAnsi="宋体" w:eastAsia="宋体" w:cs="宋体"/>
          <w:szCs w:val="21"/>
        </w:rPr>
      </w:pPr>
      <w:r>
        <w:rPr>
          <w:rFonts w:hint="eastAsia" w:ascii="宋体" w:hAnsi="宋体" w:eastAsia="宋体" w:cs="宋体"/>
          <w:szCs w:val="21"/>
        </w:rPr>
        <w:t>　　本单位将参加贵公司于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日开标的采购编号为</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szCs w:val="21"/>
          <w:u w:val="single"/>
        </w:rPr>
        <w:t xml:space="preserve">              </w:t>
      </w:r>
      <w:r>
        <w:rPr>
          <w:rFonts w:hint="eastAsia" w:ascii="宋体" w:hAnsi="宋体" w:eastAsia="宋体" w:cs="宋体"/>
          <w:szCs w:val="21"/>
        </w:rPr>
        <w:t>项目的投标。本单位已成功下载标书，特发函确认。</w:t>
      </w:r>
    </w:p>
    <w:p w14:paraId="5449AA36">
      <w:pPr>
        <w:spacing w:line="360" w:lineRule="auto"/>
        <w:ind w:left="2730" w:hanging="2730" w:hangingChars="1300"/>
        <w:rPr>
          <w:rFonts w:hint="eastAsia" w:ascii="宋体" w:hAnsi="宋体" w:eastAsia="宋体" w:cs="宋体"/>
          <w:szCs w:val="21"/>
        </w:rPr>
      </w:pPr>
    </w:p>
    <w:p w14:paraId="18382AC5">
      <w:pPr>
        <w:spacing w:line="360" w:lineRule="auto"/>
        <w:ind w:left="2730" w:hanging="2730" w:hangingChars="1300"/>
        <w:rPr>
          <w:rFonts w:hint="eastAsia" w:ascii="宋体" w:hAnsi="宋体" w:eastAsia="宋体" w:cs="宋体"/>
          <w:szCs w:val="21"/>
        </w:rPr>
      </w:pPr>
    </w:p>
    <w:p w14:paraId="226399FD">
      <w:pPr>
        <w:spacing w:line="360" w:lineRule="auto"/>
        <w:ind w:left="2730" w:hanging="2730" w:hangingChars="1300"/>
        <w:rPr>
          <w:rFonts w:hint="eastAsia" w:ascii="宋体" w:hAnsi="宋体" w:eastAsia="宋体" w:cs="宋体"/>
          <w:szCs w:val="21"/>
        </w:rPr>
      </w:pPr>
    </w:p>
    <w:p w14:paraId="4D727512">
      <w:pPr>
        <w:spacing w:line="360" w:lineRule="auto"/>
        <w:ind w:firstLine="2100" w:firstLineChars="1000"/>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（单位公章）</w:t>
      </w:r>
    </w:p>
    <w:p w14:paraId="377C87C8">
      <w:pPr>
        <w:pBdr>
          <w:bottom w:val="single" w:color="000000" w:sz="6" w:space="31"/>
        </w:pBdr>
        <w:spacing w:line="360" w:lineRule="auto"/>
        <w:ind w:left="3465" w:hanging="3465" w:hangingChars="1650"/>
        <w:rPr>
          <w:rFonts w:hint="eastAsia" w:ascii="宋体" w:hAnsi="宋体" w:eastAsia="宋体" w:cs="宋体"/>
          <w:szCs w:val="21"/>
        </w:rPr>
      </w:pPr>
      <w:r>
        <w:rPr>
          <w:rFonts w:hint="eastAsia" w:ascii="宋体" w:hAnsi="宋体" w:eastAsia="宋体" w:cs="宋体"/>
          <w:szCs w:val="21"/>
        </w:rPr>
        <w:t>　　　　　　　　　　　　　    　                         年 　月 　日</w:t>
      </w:r>
    </w:p>
    <w:p w14:paraId="0A7143A9">
      <w:pPr>
        <w:spacing w:line="360" w:lineRule="auto"/>
        <w:ind w:left="3465" w:hanging="3465" w:hangingChars="1650"/>
        <w:rPr>
          <w:rFonts w:hint="eastAsia" w:ascii="宋体" w:hAnsi="宋体" w:eastAsia="宋体" w:cs="宋体"/>
          <w:szCs w:val="21"/>
        </w:rPr>
      </w:pPr>
      <w:r>
        <w:rPr>
          <w:rFonts w:hint="eastAsia" w:ascii="宋体" w:hAnsi="宋体" w:eastAsia="宋体" w:cs="宋体"/>
          <w:szCs w:val="21"/>
        </w:rPr>
        <w:t>附：</w:t>
      </w:r>
    </w:p>
    <w:p w14:paraId="5DEF22C7">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供应商联系表</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2799"/>
        <w:gridCol w:w="2021"/>
        <w:gridCol w:w="2872"/>
      </w:tblGrid>
      <w:tr w14:paraId="194E2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vAlign w:val="top"/>
          </w:tcPr>
          <w:p w14:paraId="0D0CB4E1">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单位名称</w:t>
            </w:r>
          </w:p>
        </w:tc>
        <w:tc>
          <w:tcPr>
            <w:tcW w:w="7692" w:type="dxa"/>
            <w:gridSpan w:val="3"/>
            <w:vAlign w:val="top"/>
          </w:tcPr>
          <w:p w14:paraId="49B34D48">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14:paraId="29277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vAlign w:val="top"/>
          </w:tcPr>
          <w:p w14:paraId="2037F88F">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单位地址</w:t>
            </w:r>
          </w:p>
        </w:tc>
        <w:tc>
          <w:tcPr>
            <w:tcW w:w="7692" w:type="dxa"/>
            <w:gridSpan w:val="3"/>
            <w:vAlign w:val="top"/>
          </w:tcPr>
          <w:p w14:paraId="51A8FD08">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14:paraId="0CA2D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vAlign w:val="top"/>
          </w:tcPr>
          <w:p w14:paraId="0AB63739">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法定代表人</w:t>
            </w:r>
          </w:p>
        </w:tc>
        <w:tc>
          <w:tcPr>
            <w:tcW w:w="2799" w:type="dxa"/>
            <w:vAlign w:val="top"/>
          </w:tcPr>
          <w:p w14:paraId="700B0F94">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2021" w:type="dxa"/>
            <w:vAlign w:val="top"/>
          </w:tcPr>
          <w:p w14:paraId="636AB6C8">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邮    编</w:t>
            </w:r>
          </w:p>
        </w:tc>
        <w:tc>
          <w:tcPr>
            <w:tcW w:w="2872" w:type="dxa"/>
            <w:vAlign w:val="top"/>
          </w:tcPr>
          <w:p w14:paraId="6A9E48BE">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14:paraId="20E93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843" w:type="dxa"/>
            <w:vAlign w:val="top"/>
          </w:tcPr>
          <w:p w14:paraId="3F0F3C5D">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单位电话</w:t>
            </w:r>
          </w:p>
        </w:tc>
        <w:tc>
          <w:tcPr>
            <w:tcW w:w="2799" w:type="dxa"/>
            <w:vAlign w:val="top"/>
          </w:tcPr>
          <w:p w14:paraId="49316AD5">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2021" w:type="dxa"/>
            <w:vAlign w:val="top"/>
          </w:tcPr>
          <w:p w14:paraId="10AF835F">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传真号码</w:t>
            </w:r>
          </w:p>
        </w:tc>
        <w:tc>
          <w:tcPr>
            <w:tcW w:w="2872" w:type="dxa"/>
            <w:vAlign w:val="top"/>
          </w:tcPr>
          <w:p w14:paraId="04E46A66">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14:paraId="6E100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vAlign w:val="top"/>
          </w:tcPr>
          <w:p w14:paraId="210E4750">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项目联系人</w:t>
            </w:r>
          </w:p>
        </w:tc>
        <w:tc>
          <w:tcPr>
            <w:tcW w:w="2799" w:type="dxa"/>
            <w:vAlign w:val="top"/>
          </w:tcPr>
          <w:p w14:paraId="35119AF4">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2021" w:type="dxa"/>
            <w:vAlign w:val="top"/>
          </w:tcPr>
          <w:p w14:paraId="3F509FD7">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邮    箱</w:t>
            </w:r>
          </w:p>
        </w:tc>
        <w:tc>
          <w:tcPr>
            <w:tcW w:w="2872" w:type="dxa"/>
            <w:vAlign w:val="top"/>
          </w:tcPr>
          <w:p w14:paraId="297B4CDF">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14:paraId="25146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843" w:type="dxa"/>
            <w:vAlign w:val="top"/>
          </w:tcPr>
          <w:p w14:paraId="548EA21B">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联系人电话</w:t>
            </w:r>
          </w:p>
        </w:tc>
        <w:tc>
          <w:tcPr>
            <w:tcW w:w="2799" w:type="dxa"/>
            <w:vAlign w:val="top"/>
          </w:tcPr>
          <w:p w14:paraId="5A77C969">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2021" w:type="dxa"/>
            <w:vAlign w:val="top"/>
          </w:tcPr>
          <w:p w14:paraId="3AF7DC56">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联系人手机</w:t>
            </w:r>
          </w:p>
        </w:tc>
        <w:tc>
          <w:tcPr>
            <w:tcW w:w="2872" w:type="dxa"/>
            <w:vAlign w:val="top"/>
          </w:tcPr>
          <w:p w14:paraId="597D340F">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14:paraId="2FD45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vAlign w:val="top"/>
          </w:tcPr>
          <w:p w14:paraId="105B1926">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所投项目名称</w:t>
            </w:r>
          </w:p>
        </w:tc>
        <w:tc>
          <w:tcPr>
            <w:tcW w:w="7692" w:type="dxa"/>
            <w:gridSpan w:val="3"/>
            <w:vAlign w:val="top"/>
          </w:tcPr>
          <w:p w14:paraId="1B787F8E">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bl>
    <w:p w14:paraId="35299116">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备注：1、请准备参与本项目磋商的供应商如实填写（以上信息均为必填内容）后邮件至采购代理机构（电子邮箱：</w:t>
      </w:r>
      <w:r>
        <w:rPr>
          <w:rFonts w:hint="eastAsia" w:ascii="宋体" w:hAnsi="宋体" w:eastAsia="宋体" w:cs="宋体"/>
          <w:b/>
          <w:szCs w:val="21"/>
          <w:lang w:val="en-US" w:eastAsia="zh-CN"/>
        </w:rPr>
        <w:t>785419524</w:t>
      </w:r>
      <w:r>
        <w:rPr>
          <w:rFonts w:hint="eastAsia" w:ascii="宋体" w:hAnsi="宋体" w:eastAsia="宋体" w:cs="宋体"/>
          <w:b/>
          <w:szCs w:val="21"/>
        </w:rPr>
        <w:t>@qq.com，联系电话：</w:t>
      </w:r>
      <w:r>
        <w:rPr>
          <w:rFonts w:hint="eastAsia" w:ascii="宋体" w:hAnsi="宋体" w:eastAsia="宋体" w:cs="宋体"/>
          <w:b/>
          <w:szCs w:val="21"/>
          <w:lang w:val="en-US" w:eastAsia="zh-CN"/>
        </w:rPr>
        <w:t>0514-80820678</w:t>
      </w:r>
      <w:r>
        <w:rPr>
          <w:rFonts w:hint="eastAsia" w:ascii="宋体" w:hAnsi="宋体" w:eastAsia="宋体" w:cs="宋体"/>
          <w:b/>
          <w:szCs w:val="21"/>
        </w:rPr>
        <w:t>）。</w:t>
      </w:r>
    </w:p>
    <w:p w14:paraId="3764D90F">
      <w:pPr>
        <w:spacing w:line="360" w:lineRule="auto"/>
        <w:rPr>
          <w:rFonts w:hint="eastAsia" w:ascii="宋体" w:hAnsi="宋体" w:eastAsia="宋体" w:cs="宋体"/>
          <w:b/>
          <w:szCs w:val="21"/>
        </w:rPr>
      </w:pPr>
      <w:r>
        <w:rPr>
          <w:rFonts w:hint="eastAsia" w:ascii="宋体" w:hAnsi="宋体" w:eastAsia="宋体" w:cs="宋体"/>
          <w:b/>
          <w:szCs w:val="21"/>
        </w:rPr>
        <w:t xml:space="preserve">      2、因供应商填写有误，造成以上信息资料的不实将由供应商承担责任。</w:t>
      </w:r>
    </w:p>
    <w:sectPr>
      <w:headerReference r:id="rId10" w:type="first"/>
      <w:footerReference r:id="rId12" w:type="first"/>
      <w:footerReference r:id="rId11" w:type="default"/>
      <w:pgSz w:w="11906" w:h="16838"/>
      <w:pgMar w:top="1440" w:right="1080" w:bottom="1440" w:left="1080" w:header="850" w:footer="850" w:gutter="0"/>
      <w:pgNumType w:fmt="decimal"/>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姚体">
    <w:altName w:val="宋体"/>
    <w:panose1 w:val="02010601030101010101"/>
    <w:charset w:val="86"/>
    <w:family w:val="auto"/>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4809D">
    <w:pPr>
      <w:pStyle w:val="31"/>
      <w:tabs>
        <w:tab w:val="clear" w:pos="4153"/>
        <w:tab w:val="clear" w:pos="8306"/>
      </w:tabs>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97F9F">
    <w:pPr>
      <w:pStyle w:val="31"/>
      <w:tabs>
        <w:tab w:val="clear" w:pos="4153"/>
        <w:tab w:val="clear" w:pos="8306"/>
      </w:tabs>
      <w:jc w:val="both"/>
    </w:pPr>
    <w:r>
      <w:rPr>
        <w:sz w:val="18"/>
      </w:rP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986E967">
                <w:pPr>
                  <w:pStyle w:val="31"/>
                </w:pPr>
                <w:r>
                  <w:fldChar w:fldCharType="begin"/>
                </w:r>
                <w:r>
                  <w:instrText xml:space="preserve"> PAGE  \* MERGEFORMAT </w:instrText>
                </w:r>
                <w:r>
                  <w:fldChar w:fldCharType="separate"/>
                </w:r>
                <w:r>
                  <w:t>1</w:t>
                </w:r>
                <w:r>
                  <w:fldChar w:fldCharType="end"/>
                </w:r>
              </w:p>
            </w:txbxContent>
          </v:textbox>
        </v:shape>
      </w:pict>
    </w:r>
    <w:r>
      <w:pict>
        <v:shape id="00007e"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7C3FBCB3">
                <w:pPr>
                  <w:pStyle w:val="31"/>
                  <w:tabs>
                    <w:tab w:val="clear" w:pos="4153"/>
                    <w:tab w:val="clear" w:pos="8306"/>
                  </w:tabs>
                  <w:rPr>
                    <w:rFonts w:hint="eastAsia"/>
                  </w:rPr>
                </w:pPr>
              </w:p>
              <w:p w14:paraId="6AFEE25C"/>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8250A">
    <w:pPr>
      <w:pStyle w:val="31"/>
      <w:tabs>
        <w:tab w:val="clear" w:pos="4153"/>
        <w:tab w:val="clear" w:pos="8306"/>
      </w:tabs>
    </w:pPr>
    <w:r>
      <w:rPr>
        <w:rFonts w:hint="eastAsia"/>
      </w:rPr>
      <w:t>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10BA1">
    <w:pPr>
      <w:pStyle w:val="31"/>
      <w:tabs>
        <w:tab w:val="clear" w:pos="4153"/>
        <w:tab w:val="clear" w:pos="8306"/>
      </w:tabs>
    </w:pPr>
    <w:r>
      <w:rPr>
        <w:sz w:val="18"/>
      </w:rP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1E31B7B">
                <w:pPr>
                  <w:pStyle w:val="31"/>
                </w:pPr>
                <w:r>
                  <w:fldChar w:fldCharType="begin"/>
                </w:r>
                <w:r>
                  <w:instrText xml:space="preserve"> PAGE  \* MERGEFORMAT </w:instrText>
                </w:r>
                <w:r>
                  <w:fldChar w:fldCharType="separate"/>
                </w:r>
                <w:r>
                  <w:t>14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B0E9">
    <w:pPr>
      <w:pStyle w:val="31"/>
      <w:tabs>
        <w:tab w:val="center" w:pos="4873"/>
        <w:tab w:val="clear" w:pos="4153"/>
        <w:tab w:val="clear" w:pos="8306"/>
      </w:tabs>
      <w:rPr>
        <w:rFonts w:hint="default" w:eastAsia="宋体"/>
        <w:lang w:val="en-US" w:eastAsia="zh-CN"/>
      </w:rPr>
    </w:pPr>
    <w:r>
      <w:pict>
        <v:shape id="000084"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762DE3DC">
                <w:pPr>
                  <w:pStyle w:val="31"/>
                  <w:tabs>
                    <w:tab w:val="clear" w:pos="4153"/>
                    <w:tab w:val="clear" w:pos="8306"/>
                  </w:tabs>
                  <w:rPr>
                    <w:rFonts w:hint="default" w:eastAsia="宋体"/>
                    <w:lang w:val="en-US" w:eastAsia="zh-CN"/>
                  </w:rPr>
                </w:pPr>
                <w:r>
                  <w:rPr>
                    <w:rFonts w:hint="eastAsia"/>
                    <w:lang w:val="en-US" w:eastAsia="zh-CN"/>
                  </w:rPr>
                  <w:t>13</w:t>
                </w:r>
              </w:p>
              <w:p w14:paraId="36481998"/>
            </w:txbxContent>
          </v:textbox>
        </v:shape>
      </w:pic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5AFA2">
    <w:pPr>
      <w:pStyle w:val="33"/>
      <w:tabs>
        <w:tab w:val="clear" w:pos="4153"/>
        <w:tab w:val="clear" w:pos="8306"/>
      </w:tabs>
      <w:jc w:val="both"/>
      <w:rPr>
        <w:rFonts w:ascii="宋体" w:hAnsi="宋体" w:eastAsia="宋体"/>
        <w:lang w:val="en-US" w:eastAsia="zh-CN"/>
      </w:rPr>
    </w:pPr>
    <w:r>
      <w:rPr>
        <w:rFonts w:hint="eastAsia" w:ascii="Calibri" w:hAnsi="Calibri" w:eastAsia="宋体" w:cs="Calibri"/>
        <w:lang w:val="en-US" w:eastAsia="zh-CN"/>
      </w:rPr>
      <w:t>JSZCZC2025024</w:t>
    </w:r>
    <w:r>
      <w:rPr>
        <w:rFonts w:hint="eastAsia" w:ascii="宋体" w:hAnsi="宋体"/>
      </w:rPr>
      <w:t>号</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江苏志诚工程咨询管理有限公司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C21A">
    <w:pPr>
      <w:pStyle w:val="33"/>
      <w:tabs>
        <w:tab w:val="clear" w:pos="4153"/>
        <w:tab w:val="clear" w:pos="8306"/>
      </w:tabs>
    </w:pPr>
    <w:r>
      <w:rPr>
        <w:rFonts w:hint="eastAsia"/>
        <w:lang w:eastAsia="zh-CN"/>
      </w:rPr>
      <w:t>YZWTWY-XHYNPQLH-2024002</w:t>
    </w:r>
    <w:r>
      <w:rPr>
        <w:rFonts w:hint="eastAsia" w:ascii="宋体" w:hAnsi="宋体"/>
      </w:rPr>
      <w:t>号</w:t>
    </w:r>
    <w:r>
      <w:rPr>
        <w:rFonts w:hint="eastAsia"/>
      </w:rPr>
      <w:t xml:space="preserve"> </w:t>
    </w:r>
    <w:r>
      <w:rPr>
        <w:rFonts w:hint="eastAsia"/>
        <w:lang w:val="en-US" w:eastAsia="zh-CN"/>
      </w:rPr>
      <w:t xml:space="preserve">                                            </w:t>
    </w:r>
    <w:r>
      <w:rPr>
        <w:rFonts w:hint="eastAsia"/>
      </w:rPr>
      <w:t xml:space="preserve"> </w:t>
    </w:r>
    <w:r>
      <w:rPr>
        <w:rFonts w:hint="eastAsia" w:ascii="宋体" w:hAnsi="宋体"/>
      </w:rPr>
      <w:t>江苏嘉加诚工程投资咨询有限公司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9172">
    <w:pPr>
      <w:pStyle w:val="33"/>
      <w:pBdr>
        <w:bottom w:val="single" w:color="000000" w:sz="6" w:space="0"/>
      </w:pBdr>
      <w:tabs>
        <w:tab w:val="clear" w:pos="4153"/>
        <w:tab w:val="clear" w:pos="8306"/>
      </w:tabs>
      <w:jc w:val="both"/>
      <w:rPr>
        <w:rFonts w:hint="eastAsia" w:ascii="宋体" w:hAnsi="宋体" w:eastAsia="宋体" w:cs="宋体"/>
        <w:szCs w:val="21"/>
        <w:lang w:eastAsia="zh-CN"/>
      </w:rPr>
    </w:pPr>
    <w:r>
      <w:rPr>
        <w:rFonts w:hint="eastAsia" w:ascii="宋体" w:hAnsi="宋体"/>
        <w:szCs w:val="21"/>
        <w:lang w:eastAsia="zh-CN"/>
      </w:rPr>
      <w:t>JSZCZC2025024</w:t>
    </w:r>
    <w:r>
      <w:rPr>
        <w:rFonts w:hint="eastAsia" w:ascii="宋体" w:hAnsi="宋体"/>
        <w:szCs w:val="21"/>
      </w:rPr>
      <w:t>号</w:t>
    </w:r>
    <w:r>
      <w:rPr>
        <w:rFonts w:hint="eastAsia" w:ascii="宋体" w:hAnsi="宋体"/>
        <w:color w:val="FF0000"/>
        <w:szCs w:val="21"/>
      </w:rPr>
      <w:t xml:space="preserve">  </w:t>
    </w:r>
    <w:r>
      <w:rPr>
        <w:rFonts w:hint="eastAsia"/>
        <w:color w:val="FF0000"/>
      </w:rPr>
      <w:t xml:space="preserve">  </w:t>
    </w:r>
    <w:r>
      <w:rPr>
        <w:rFonts w:hint="eastAsia"/>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color w:val="333333"/>
        <w:kern w:val="0"/>
        <w:lang w:val="en" w:eastAsia="zh-CN"/>
      </w:rPr>
      <w:t>江苏志诚工程咨询管理有限公司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6C9E">
    <w:pPr>
      <w:pStyle w:val="33"/>
      <w:tabs>
        <w:tab w:val="clear" w:pos="4153"/>
        <w:tab w:val="clear" w:pos="8306"/>
      </w:tabs>
      <w:jc w:val="both"/>
      <w:rPr>
        <w:rFonts w:hint="eastAsia" w:eastAsia="宋体"/>
        <w:lang w:eastAsia="zh-CN"/>
      </w:rPr>
    </w:pPr>
    <w:r>
      <w:rPr>
        <w:rFonts w:hint="eastAsia" w:ascii="宋体" w:hAnsi="宋体"/>
        <w:szCs w:val="21"/>
      </w:rPr>
      <w:t>JSLX-ZC20240828号</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lang w:eastAsia="zh-CN"/>
      </w:rPr>
      <w:t>江苏志诚工程咨询管理有限公司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89EE6">
    <w:pPr>
      <w:pStyle w:val="33"/>
      <w:pBdr>
        <w:bottom w:val="single" w:color="000000" w:sz="6" w:space="0"/>
      </w:pBdr>
      <w:tabs>
        <w:tab w:val="clear" w:pos="4153"/>
        <w:tab w:val="clear" w:pos="8306"/>
      </w:tabs>
      <w:jc w:val="both"/>
      <w:rPr>
        <w:rFonts w:hint="eastAsia" w:eastAsia="宋体"/>
        <w:lang w:eastAsia="zh-CN"/>
      </w:rPr>
    </w:pPr>
    <w:r>
      <w:rPr>
        <w:rFonts w:hint="eastAsia" w:ascii="宋体" w:hAnsi="宋体"/>
        <w:szCs w:val="21"/>
        <w:lang w:eastAsia="zh-CN"/>
      </w:rPr>
      <w:t>JSZCZC2025024</w:t>
    </w:r>
    <w:r>
      <w:rPr>
        <w:rFonts w:hint="eastAsia" w:ascii="宋体" w:hAnsi="宋体"/>
        <w:szCs w:val="21"/>
      </w:rPr>
      <w:t>号</w:t>
    </w:r>
    <w:r>
      <w:rPr>
        <w:rFonts w:hint="eastAsia" w:ascii="宋体" w:hAnsi="宋体"/>
        <w:color w:val="FF0000"/>
        <w:szCs w:val="21"/>
      </w:rPr>
      <w:t xml:space="preserve">  </w:t>
    </w:r>
    <w:r>
      <w:rPr>
        <w:rFonts w:hint="eastAsia"/>
        <w:color w:val="FF0000"/>
      </w:rPr>
      <w:t xml:space="preserve">  </w:t>
    </w:r>
    <w:r>
      <w:rPr>
        <w:rFonts w:hint="eastAsia"/>
      </w:rPr>
      <w:t xml:space="preserve">                                                 </w:t>
    </w:r>
    <w:r>
      <w:rPr>
        <w:rFonts w:hint="eastAsia" w:ascii="宋体" w:hAnsi="宋体" w:eastAsia="宋体" w:cs="宋体"/>
      </w:rPr>
      <w:t xml:space="preserve">  </w:t>
    </w:r>
    <w:r>
      <w:rPr>
        <w:rFonts w:hint="eastAsia" w:ascii="宋体" w:hAnsi="宋体" w:eastAsia="宋体" w:cs="宋体"/>
        <w:color w:val="333333"/>
        <w:kern w:val="0"/>
        <w:lang w:val="en" w:eastAsia="zh-CN"/>
      </w:rPr>
      <w:t>江苏志诚工程咨询管理有限公司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56DB3"/>
    <w:multiLevelType w:val="singleLevel"/>
    <w:tmpl w:val="9DD56DB3"/>
    <w:lvl w:ilvl="0" w:tentative="0">
      <w:start w:val="1"/>
      <w:numFmt w:val="bullet"/>
      <w:pStyle w:val="22"/>
      <w:lvlText w:val=""/>
      <w:lvlJc w:val="left"/>
      <w:pPr>
        <w:tabs>
          <w:tab w:val="left" w:pos="780"/>
        </w:tabs>
        <w:ind w:left="780" w:hanging="360"/>
      </w:pPr>
      <w:rPr>
        <w:rFonts w:ascii="Wingdings" w:hAnsi="Wingdings"/>
      </w:rPr>
    </w:lvl>
  </w:abstractNum>
  <w:abstractNum w:abstractNumId="1">
    <w:nsid w:val="E01DADE4"/>
    <w:multiLevelType w:val="singleLevel"/>
    <w:tmpl w:val="E01DADE4"/>
    <w:lvl w:ilvl="0" w:tentative="0">
      <w:start w:val="1"/>
      <w:numFmt w:val="decimal"/>
      <w:lvlText w:val="(%1)"/>
      <w:lvlJc w:val="left"/>
      <w:pPr>
        <w:ind w:left="425" w:hanging="425"/>
      </w:pPr>
    </w:lvl>
  </w:abstractNum>
  <w:abstractNum w:abstractNumId="2">
    <w:nsid w:val="06784D56"/>
    <w:multiLevelType w:val="singleLevel"/>
    <w:tmpl w:val="06784D56"/>
    <w:lvl w:ilvl="0" w:tentative="0">
      <w:start w:val="1"/>
      <w:numFmt w:val="upperLetter"/>
      <w:pStyle w:val="80"/>
      <w:lvlText w:val="附录%1."/>
      <w:lvlJc w:val="left"/>
      <w:pPr>
        <w:tabs>
          <w:tab w:val="left" w:pos="907"/>
        </w:tabs>
        <w:ind w:left="907" w:hanging="907"/>
      </w:pPr>
      <w:rPr>
        <w:rFonts w:hint="eastAsia"/>
      </w:rPr>
    </w:lvl>
  </w:abstractNum>
  <w:abstractNum w:abstractNumId="3">
    <w:nsid w:val="125561CB"/>
    <w:multiLevelType w:val="singleLevel"/>
    <w:tmpl w:val="125561CB"/>
    <w:lvl w:ilvl="0" w:tentative="0">
      <w:start w:val="2"/>
      <w:numFmt w:val="chineseCounting"/>
      <w:suff w:val="nothing"/>
      <w:lvlText w:val="%1、"/>
      <w:lvlJc w:val="left"/>
      <w:rPr>
        <w:rFonts w:hint="eastAsia"/>
      </w:rPr>
    </w:lvl>
  </w:abstractNum>
  <w:abstractNum w:abstractNumId="4">
    <w:nsid w:val="17734228"/>
    <w:multiLevelType w:val="singleLevel"/>
    <w:tmpl w:val="17734228"/>
    <w:lvl w:ilvl="0" w:tentative="0">
      <w:start w:val="1"/>
      <w:numFmt w:val="decimal"/>
      <w:lvlText w:val="(%1)"/>
      <w:lvlJc w:val="left"/>
      <w:pPr>
        <w:ind w:left="425" w:hanging="425"/>
      </w:pPr>
    </w:lvl>
  </w:abstractNum>
  <w:abstractNum w:abstractNumId="5">
    <w:nsid w:val="229096F1"/>
    <w:multiLevelType w:val="singleLevel"/>
    <w:tmpl w:val="229096F1"/>
    <w:lvl w:ilvl="0" w:tentative="0">
      <w:start w:val="1"/>
      <w:numFmt w:val="decimal"/>
      <w:lvlText w:val="(%1)"/>
      <w:lvlJc w:val="left"/>
      <w:pPr>
        <w:ind w:left="425" w:hanging="425"/>
      </w:pPr>
    </w:lvl>
  </w:abstractNum>
  <w:abstractNum w:abstractNumId="6">
    <w:nsid w:val="237E4D61"/>
    <w:multiLevelType w:val="multilevel"/>
    <w:tmpl w:val="237E4D61"/>
    <w:lvl w:ilvl="0" w:tentative="0">
      <w:start w:val="1"/>
      <w:numFmt w:val="japaneseCounting"/>
      <w:pStyle w:val="107"/>
      <w:lvlText w:val="第%1章"/>
      <w:lvlJc w:val="left"/>
      <w:pPr>
        <w:ind w:left="9351" w:hanging="420"/>
      </w:pPr>
      <w:rPr>
        <w:rFonts w:hint="eastAsia" w:ascii="黑体" w:eastAsia="黑体"/>
        <w:b w:val="0"/>
        <w:sz w:val="36"/>
        <w:lang w:val="en-US"/>
      </w:rPr>
    </w:lvl>
    <w:lvl w:ilvl="1" w:tentative="0">
      <w:start w:val="1"/>
      <w:numFmt w:val="decimal"/>
      <w:pStyle w:val="86"/>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7"/>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101"/>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7">
    <w:nsid w:val="3A75441E"/>
    <w:multiLevelType w:val="singleLevel"/>
    <w:tmpl w:val="3A75441E"/>
    <w:lvl w:ilvl="0" w:tentative="0">
      <w:start w:val="2"/>
      <w:numFmt w:val="decimal"/>
      <w:suff w:val="nothing"/>
      <w:lvlText w:val="%1、"/>
      <w:lvlJc w:val="left"/>
    </w:lvl>
  </w:abstractNum>
  <w:abstractNum w:abstractNumId="8">
    <w:nsid w:val="41322E1B"/>
    <w:multiLevelType w:val="singleLevel"/>
    <w:tmpl w:val="41322E1B"/>
    <w:lvl w:ilvl="0" w:tentative="0">
      <w:start w:val="1"/>
      <w:numFmt w:val="decimal"/>
      <w:lvlText w:val="(%1)"/>
      <w:lvlJc w:val="left"/>
      <w:pPr>
        <w:ind w:left="425" w:hanging="425"/>
      </w:pPr>
    </w:lvl>
  </w:abstractNum>
  <w:abstractNum w:abstractNumId="9">
    <w:nsid w:val="57EB6855"/>
    <w:multiLevelType w:val="singleLevel"/>
    <w:tmpl w:val="57EB6855"/>
    <w:lvl w:ilvl="0" w:tentative="0">
      <w:start w:val="1"/>
      <w:numFmt w:val="decimal"/>
      <w:lvlText w:val="(%1)"/>
      <w:lvlJc w:val="left"/>
      <w:pPr>
        <w:ind w:left="425" w:hanging="425"/>
      </w:pPr>
    </w:lvl>
  </w:abstractNum>
  <w:abstractNum w:abstractNumId="10">
    <w:nsid w:val="63C5F63C"/>
    <w:multiLevelType w:val="singleLevel"/>
    <w:tmpl w:val="63C5F63C"/>
    <w:lvl w:ilvl="0" w:tentative="0">
      <w:start w:val="6"/>
      <w:numFmt w:val="decimal"/>
      <w:suff w:val="nothing"/>
      <w:lvlText w:val="%1、"/>
      <w:lvlJc w:val="left"/>
    </w:lvl>
  </w:abstractNum>
  <w:abstractNum w:abstractNumId="11">
    <w:nsid w:val="654B0DA3"/>
    <w:multiLevelType w:val="singleLevel"/>
    <w:tmpl w:val="654B0DA3"/>
    <w:lvl w:ilvl="0" w:tentative="0">
      <w:start w:val="1"/>
      <w:numFmt w:val="chineseCounting"/>
      <w:suff w:val="nothing"/>
      <w:lvlText w:val="%1、"/>
      <w:lvlJc w:val="left"/>
      <w:rPr>
        <w:rFonts w:hint="eastAsia"/>
      </w:rPr>
    </w:lvl>
  </w:abstractNum>
  <w:abstractNum w:abstractNumId="12">
    <w:nsid w:val="7E9496B3"/>
    <w:multiLevelType w:val="singleLevel"/>
    <w:tmpl w:val="7E9496B3"/>
    <w:lvl w:ilvl="0" w:tentative="0">
      <w:start w:val="3"/>
      <w:numFmt w:val="chineseCounting"/>
      <w:suff w:val="space"/>
      <w:lvlText w:val="第%1章"/>
      <w:lvlJc w:val="left"/>
      <w:rPr>
        <w:rFonts w:hint="eastAsia"/>
      </w:rPr>
    </w:lvl>
  </w:abstractNum>
  <w:num w:numId="1">
    <w:abstractNumId w:val="0"/>
  </w:num>
  <w:num w:numId="2">
    <w:abstractNumId w:val="2"/>
  </w:num>
  <w:num w:numId="3">
    <w:abstractNumId w:val="6"/>
  </w:num>
  <w:num w:numId="4">
    <w:abstractNumId w:val="7"/>
  </w:num>
  <w:num w:numId="5">
    <w:abstractNumId w:val="10"/>
  </w:num>
  <w:num w:numId="6">
    <w:abstractNumId w:val="12"/>
  </w:num>
  <w:num w:numId="7">
    <w:abstractNumId w:val="11"/>
  </w:num>
  <w:num w:numId="8">
    <w:abstractNumId w:val="3"/>
  </w:num>
  <w:num w:numId="9">
    <w:abstractNumId w:val="8"/>
  </w:num>
  <w:num w:numId="10">
    <w:abstractNumId w:val="9"/>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584135E"/>
    <w:rsid w:val="20AA0641"/>
    <w:rsid w:val="2BE6675E"/>
    <w:rsid w:val="4A1A2446"/>
    <w:rsid w:val="69173D9A"/>
    <w:rsid w:val="70B03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2"/>
    <w:qFormat/>
    <w:uiPriority w:val="0"/>
    <w:pPr>
      <w:widowControl w:val="0"/>
      <w:autoSpaceDE/>
      <w:autoSpaceDN/>
      <w:snapToGrid/>
      <w:jc w:val="both"/>
    </w:pPr>
    <w:rPr>
      <w:rFonts w:ascii="Calibri" w:hAnsi="Calibri" w:eastAsia="宋体" w:cs="Calibri"/>
      <w:kern w:val="2"/>
      <w:sz w:val="21"/>
      <w:szCs w:val="24"/>
      <w:lang w:val="en-US" w:eastAsia="zh-CN" w:bidi="ar-SA"/>
    </w:rPr>
  </w:style>
  <w:style w:type="paragraph" w:styleId="10">
    <w:name w:val="heading 1"/>
    <w:basedOn w:val="1"/>
    <w:next w:val="1"/>
    <w:link w:val="60"/>
    <w:qFormat/>
    <w:uiPriority w:val="0"/>
    <w:pPr>
      <w:keepNext/>
      <w:outlineLvl w:val="0"/>
    </w:pPr>
    <w:rPr>
      <w:rFonts w:ascii="楷体_GB2312" w:eastAsia="楷体_GB2312"/>
      <w:sz w:val="28"/>
      <w:szCs w:val="20"/>
    </w:rPr>
  </w:style>
  <w:style w:type="paragraph" w:styleId="11">
    <w:name w:val="heading 2"/>
    <w:basedOn w:val="1"/>
    <w:next w:val="12"/>
    <w:link w:val="112"/>
    <w:qFormat/>
    <w:uiPriority w:val="0"/>
    <w:pPr>
      <w:keepNext/>
      <w:keepLines/>
      <w:spacing w:before="260" w:after="260" w:line="416" w:lineRule="auto"/>
      <w:outlineLvl w:val="1"/>
    </w:pPr>
    <w:rPr>
      <w:rFonts w:ascii="Arial" w:hAnsi="Arial" w:eastAsia="黑体"/>
      <w:b/>
      <w:bCs/>
      <w:kern w:val="2"/>
      <w:sz w:val="32"/>
      <w:szCs w:val="32"/>
    </w:rPr>
  </w:style>
  <w:style w:type="paragraph" w:styleId="13">
    <w:name w:val="heading 3"/>
    <w:basedOn w:val="1"/>
    <w:next w:val="1"/>
    <w:qFormat/>
    <w:uiPriority w:val="0"/>
    <w:pPr>
      <w:keepNext/>
      <w:keepLines/>
      <w:spacing w:before="260" w:after="260" w:line="416" w:lineRule="auto"/>
      <w:outlineLvl w:val="2"/>
    </w:pPr>
    <w:rPr>
      <w:b/>
      <w:sz w:val="32"/>
      <w:szCs w:val="20"/>
    </w:rPr>
  </w:style>
  <w:style w:type="paragraph" w:styleId="1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5">
    <w:name w:val="heading 5"/>
    <w:basedOn w:val="1"/>
    <w:next w:val="1"/>
    <w:qFormat/>
    <w:uiPriority w:val="0"/>
    <w:pPr>
      <w:keepNext/>
      <w:outlineLvl w:val="4"/>
    </w:pPr>
    <w:rPr>
      <w:rFonts w:ascii="宋体" w:hAnsi="宋体"/>
      <w:b/>
      <w:bCs/>
    </w:rPr>
  </w:style>
  <w:style w:type="character" w:default="1" w:styleId="47">
    <w:name w:val="Default Paragraph Font"/>
    <w:link w:val="1"/>
    <w:semiHidden/>
    <w:qFormat/>
    <w:uiPriority w:val="0"/>
  </w:style>
  <w:style w:type="table" w:default="1" w:styleId="45">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2">
    <w:name w:val="正文（缩进）"/>
    <w:basedOn w:val="1"/>
    <w:next w:val="3"/>
    <w:qFormat/>
    <w:uiPriority w:val="0"/>
    <w:pPr>
      <w:ind w:firstLine="480" w:firstLineChars="200"/>
    </w:pPr>
    <w:rPr>
      <w:rFonts w:ascii="Times New Roman" w:hAnsi="Times New Roman"/>
    </w:rPr>
  </w:style>
  <w:style w:type="paragraph" w:customStyle="1" w:styleId="3">
    <w:name w:val="Char Char Char Char Char Char Char Char Char"/>
    <w:next w:val="4"/>
    <w:qFormat/>
    <w:uiPriority w:val="0"/>
    <w:pPr>
      <w:widowControl w:val="0"/>
      <w:autoSpaceDE/>
      <w:autoSpaceDN/>
      <w:snapToGrid/>
      <w:ind w:left="360" w:firstLine="5784"/>
      <w:jc w:val="both"/>
    </w:pPr>
    <w:rPr>
      <w:rFonts w:ascii="Calibri" w:hAnsi="Calibri" w:eastAsia="宋体" w:cs="Calibri"/>
      <w:kern w:val="2"/>
      <w:sz w:val="21"/>
      <w:szCs w:val="24"/>
      <w:lang w:val="en-US" w:eastAsia="zh-CN" w:bidi="ar-SA"/>
    </w:rPr>
  </w:style>
  <w:style w:type="paragraph" w:customStyle="1" w:styleId="4">
    <w:name w:val="正文文本 21"/>
    <w:next w:val="5"/>
    <w:qFormat/>
    <w:uiPriority w:val="0"/>
    <w:pPr>
      <w:autoSpaceDE w:val="0"/>
      <w:autoSpaceDN w:val="0"/>
      <w:snapToGrid/>
      <w:ind w:left="720" w:firstLine="5680"/>
      <w:jc w:val="both"/>
    </w:pPr>
    <w:rPr>
      <w:rFonts w:ascii="Calibri" w:hAnsi="Calibri" w:eastAsia="宋体" w:cs="Calibri"/>
      <w:kern w:val="2"/>
      <w:sz w:val="21"/>
      <w:szCs w:val="24"/>
      <w:lang w:val="en-US" w:eastAsia="zh-CN" w:bidi="ar-SA"/>
    </w:rPr>
  </w:style>
  <w:style w:type="paragraph" w:customStyle="1" w:styleId="5">
    <w:name w:val="默认段落字体 Para Char Char Char Char Char Char Char"/>
    <w:next w:val="6"/>
    <w:qFormat/>
    <w:uiPriority w:val="0"/>
    <w:pPr>
      <w:widowControl w:val="0"/>
      <w:autoSpaceDE/>
      <w:autoSpaceDN/>
      <w:snapToGrid/>
      <w:ind w:firstLine="5632"/>
      <w:jc w:val="both"/>
    </w:pPr>
    <w:rPr>
      <w:rFonts w:ascii="Calibri" w:hAnsi="Calibri" w:eastAsia="宋体" w:cs="Calibri"/>
      <w:kern w:val="2"/>
      <w:sz w:val="21"/>
      <w:szCs w:val="24"/>
      <w:lang w:val="en-US" w:eastAsia="zh-CN" w:bidi="ar-SA"/>
    </w:rPr>
  </w:style>
  <w:style w:type="paragraph" w:customStyle="1" w:styleId="6">
    <w:name w:val="样式 首行缩进:  2 字符"/>
    <w:next w:val="7"/>
    <w:qFormat/>
    <w:uiPriority w:val="0"/>
    <w:pPr>
      <w:widowControl w:val="0"/>
      <w:autoSpaceDE/>
      <w:autoSpaceDN/>
      <w:snapToGrid/>
      <w:spacing w:line="360" w:lineRule="auto"/>
      <w:ind w:left="480" w:firstLine="5856"/>
      <w:jc w:val="both"/>
    </w:pPr>
    <w:rPr>
      <w:rFonts w:ascii="Calibri" w:hAnsi="Calibri" w:eastAsia="宋体" w:cs="Calibri"/>
      <w:kern w:val="2"/>
      <w:sz w:val="21"/>
      <w:szCs w:val="24"/>
      <w:lang w:val="en-US" w:eastAsia="zh-CN" w:bidi="ar-SA"/>
    </w:rPr>
  </w:style>
  <w:style w:type="paragraph" w:customStyle="1" w:styleId="7">
    <w:name w:val="样式 段后: 0.25 行"/>
    <w:next w:val="8"/>
    <w:qFormat/>
    <w:uiPriority w:val="0"/>
    <w:pPr>
      <w:autoSpaceDE/>
      <w:autoSpaceDN/>
      <w:snapToGrid/>
      <w:spacing w:line="300" w:lineRule="auto"/>
      <w:ind w:left="420" w:firstLine="5796"/>
      <w:jc w:val="both"/>
    </w:pPr>
    <w:rPr>
      <w:rFonts w:ascii="Calibri" w:hAnsi="Calibri" w:eastAsia="宋体" w:cs="Calibri"/>
      <w:kern w:val="2"/>
      <w:sz w:val="21"/>
      <w:szCs w:val="24"/>
      <w:lang w:val="en-US" w:eastAsia="zh-CN" w:bidi="ar-SA"/>
    </w:rPr>
  </w:style>
  <w:style w:type="paragraph" w:customStyle="1" w:styleId="8">
    <w:name w:val="正文 New New New New New New New New New New New New New New"/>
    <w:next w:val="9"/>
    <w:qFormat/>
    <w:uiPriority w:val="0"/>
    <w:pPr>
      <w:widowControl w:val="0"/>
      <w:autoSpaceDE/>
      <w:autoSpaceDN/>
      <w:snapToGrid/>
      <w:ind w:firstLine="2048"/>
      <w:jc w:val="both"/>
    </w:pPr>
    <w:rPr>
      <w:rFonts w:ascii="Calibri" w:hAnsi="Calibri" w:eastAsia="宋体" w:cs="Calibri"/>
      <w:kern w:val="2"/>
      <w:sz w:val="21"/>
      <w:szCs w:val="22"/>
      <w:lang w:val="en-US" w:eastAsia="zh-CN" w:bidi="ar-SA"/>
    </w:rPr>
  </w:style>
  <w:style w:type="paragraph" w:styleId="9">
    <w:name w:val="toc 9"/>
    <w:basedOn w:val="1"/>
    <w:next w:val="1"/>
    <w:semiHidden/>
    <w:qFormat/>
    <w:uiPriority w:val="0"/>
    <w:pPr>
      <w:ind w:left="3360" w:leftChars="1600"/>
    </w:pPr>
  </w:style>
  <w:style w:type="paragraph" w:styleId="12">
    <w:name w:val="Normal Indent"/>
    <w:basedOn w:val="1"/>
    <w:link w:val="103"/>
    <w:qFormat/>
    <w:uiPriority w:val="0"/>
    <w:pPr>
      <w:ind w:firstLine="420"/>
    </w:pPr>
    <w:rPr>
      <w:szCs w:val="20"/>
    </w:rPr>
  </w:style>
  <w:style w:type="paragraph" w:styleId="16">
    <w:name w:val="toc 7"/>
    <w:basedOn w:val="1"/>
    <w:next w:val="1"/>
    <w:semiHidden/>
    <w:qFormat/>
    <w:uiPriority w:val="0"/>
    <w:pPr>
      <w:ind w:left="2520" w:leftChars="1200"/>
    </w:pPr>
  </w:style>
  <w:style w:type="paragraph" w:styleId="17">
    <w:name w:val="Document Map"/>
    <w:basedOn w:val="1"/>
    <w:semiHidden/>
    <w:qFormat/>
    <w:uiPriority w:val="0"/>
    <w:pPr>
      <w:shd w:val="clear" w:color="auto" w:fill="000080"/>
    </w:pPr>
  </w:style>
  <w:style w:type="paragraph" w:styleId="18">
    <w:name w:val="annotation text"/>
    <w:basedOn w:val="1"/>
    <w:link w:val="113"/>
    <w:qFormat/>
    <w:uiPriority w:val="0"/>
    <w:pPr>
      <w:jc w:val="left"/>
    </w:pPr>
  </w:style>
  <w:style w:type="paragraph" w:styleId="19">
    <w:name w:val="Body Text 3"/>
    <w:basedOn w:val="1"/>
    <w:qFormat/>
    <w:uiPriority w:val="0"/>
    <w:rPr>
      <w:rFonts w:ascii="仿宋_GB2312" w:hAnsi="Arial" w:eastAsia="仿宋_GB2312"/>
      <w:sz w:val="32"/>
      <w:szCs w:val="20"/>
    </w:rPr>
  </w:style>
  <w:style w:type="paragraph" w:styleId="20">
    <w:name w:val="Body Text"/>
    <w:basedOn w:val="1"/>
    <w:next w:val="1"/>
    <w:qFormat/>
    <w:uiPriority w:val="0"/>
    <w:rPr>
      <w:rFonts w:ascii="楷体_GB2312" w:hAnsi="Arial" w:eastAsia="楷体_GB2312"/>
      <w:sz w:val="28"/>
      <w:szCs w:val="20"/>
    </w:rPr>
  </w:style>
  <w:style w:type="paragraph" w:styleId="21">
    <w:name w:val="Body Text Indent"/>
    <w:basedOn w:val="1"/>
    <w:next w:val="1"/>
    <w:link w:val="79"/>
    <w:qFormat/>
    <w:uiPriority w:val="0"/>
    <w:pPr>
      <w:ind w:firstLine="645"/>
    </w:pPr>
    <w:rPr>
      <w:rFonts w:ascii="楷体_GB2312" w:eastAsia="楷体_GB2312"/>
      <w:sz w:val="32"/>
      <w:szCs w:val="20"/>
    </w:rPr>
  </w:style>
  <w:style w:type="paragraph" w:styleId="22">
    <w:name w:val="List Bullet 2"/>
    <w:basedOn w:val="1"/>
    <w:qFormat/>
    <w:uiPriority w:val="0"/>
    <w:pPr>
      <w:numPr>
        <w:ilvl w:val="0"/>
        <w:numId w:val="1"/>
      </w:numPr>
      <w:tabs>
        <w:tab w:val="clear" w:pos="780"/>
      </w:tabs>
    </w:pPr>
  </w:style>
  <w:style w:type="paragraph" w:styleId="23">
    <w:name w:val="index 4"/>
    <w:basedOn w:val="1"/>
    <w:next w:val="1"/>
    <w:semiHidden/>
    <w:qFormat/>
    <w:uiPriority w:val="0"/>
    <w:pPr>
      <w:ind w:left="1260"/>
    </w:pPr>
  </w:style>
  <w:style w:type="paragraph" w:styleId="24">
    <w:name w:val="toc 5"/>
    <w:basedOn w:val="1"/>
    <w:next w:val="1"/>
    <w:semiHidden/>
    <w:qFormat/>
    <w:uiPriority w:val="0"/>
    <w:pPr>
      <w:ind w:left="1680" w:leftChars="800"/>
    </w:pPr>
  </w:style>
  <w:style w:type="paragraph" w:styleId="25">
    <w:name w:val="toc 3"/>
    <w:basedOn w:val="1"/>
    <w:next w:val="1"/>
    <w:semiHidden/>
    <w:qFormat/>
    <w:uiPriority w:val="0"/>
    <w:pPr>
      <w:tabs>
        <w:tab w:val="right" w:leader="dot" w:pos="9440"/>
      </w:tabs>
      <w:spacing w:line="240" w:lineRule="exact"/>
      <w:ind w:left="539"/>
      <w:jc w:val="left"/>
    </w:pPr>
    <w:rPr>
      <w:rFonts w:ascii="黑体" w:hAnsi="宋体" w:eastAsia="黑体"/>
      <w:bCs/>
      <w:iCs/>
      <w:sz w:val="18"/>
      <w:szCs w:val="32"/>
    </w:rPr>
  </w:style>
  <w:style w:type="paragraph" w:styleId="26">
    <w:name w:val="Plain Text"/>
    <w:basedOn w:val="1"/>
    <w:link w:val="82"/>
    <w:qFormat/>
    <w:uiPriority w:val="0"/>
    <w:pPr>
      <w:widowControl w:val="0"/>
      <w:jc w:val="both"/>
    </w:pPr>
    <w:rPr>
      <w:rFonts w:hint="eastAsia" w:ascii="宋体" w:hAnsi="Courier New"/>
      <w:kern w:val="2"/>
      <w:sz w:val="21"/>
      <w:szCs w:val="20"/>
      <w:lang w:val="en-US" w:eastAsia="zh-CN" w:bidi="ar-SA"/>
    </w:rPr>
  </w:style>
  <w:style w:type="paragraph" w:styleId="27">
    <w:name w:val="toc 8"/>
    <w:basedOn w:val="1"/>
    <w:next w:val="1"/>
    <w:semiHidden/>
    <w:qFormat/>
    <w:uiPriority w:val="0"/>
    <w:pPr>
      <w:ind w:left="2940" w:leftChars="1400"/>
    </w:pPr>
  </w:style>
  <w:style w:type="paragraph" w:styleId="28">
    <w:name w:val="Date"/>
    <w:basedOn w:val="1"/>
    <w:next w:val="1"/>
    <w:qFormat/>
    <w:uiPriority w:val="0"/>
    <w:rPr>
      <w:sz w:val="24"/>
      <w:szCs w:val="20"/>
    </w:rPr>
  </w:style>
  <w:style w:type="paragraph" w:styleId="29">
    <w:name w:val="Body Text Indent 2"/>
    <w:basedOn w:val="1"/>
    <w:qFormat/>
    <w:uiPriority w:val="0"/>
    <w:pPr>
      <w:ind w:firstLine="560" w:firstLineChars="200"/>
    </w:pPr>
    <w:rPr>
      <w:rFonts w:ascii="宋体" w:hAnsi="宋体"/>
      <w:sz w:val="28"/>
    </w:rPr>
  </w:style>
  <w:style w:type="paragraph" w:styleId="30">
    <w:name w:val="Balloon Text"/>
    <w:basedOn w:val="1"/>
    <w:semiHidden/>
    <w:qFormat/>
    <w:uiPriority w:val="0"/>
    <w:rPr>
      <w:sz w:val="18"/>
      <w:szCs w:val="18"/>
    </w:rPr>
  </w:style>
  <w:style w:type="paragraph" w:styleId="31">
    <w:name w:val="footer"/>
    <w:basedOn w:val="1"/>
    <w:link w:val="97"/>
    <w:qFormat/>
    <w:uiPriority w:val="99"/>
    <w:pPr>
      <w:tabs>
        <w:tab w:val="center" w:pos="4153"/>
        <w:tab w:val="right" w:pos="8306"/>
      </w:tabs>
      <w:jc w:val="left"/>
    </w:pPr>
    <w:rPr>
      <w:sz w:val="18"/>
      <w:szCs w:val="20"/>
    </w:rPr>
  </w:style>
  <w:style w:type="paragraph" w:styleId="32">
    <w:name w:val="envelope return"/>
    <w:basedOn w:val="1"/>
    <w:qFormat/>
    <w:uiPriority w:val="99"/>
    <w:rPr>
      <w:rFonts w:ascii="Arial" w:hAnsi="Arial"/>
    </w:rPr>
  </w:style>
  <w:style w:type="paragraph" w:styleId="33">
    <w:name w:val="header"/>
    <w:basedOn w:val="1"/>
    <w:link w:val="61"/>
    <w:qFormat/>
    <w:uiPriority w:val="99"/>
    <w:pPr>
      <w:pBdr>
        <w:bottom w:val="single" w:color="000000" w:sz="6" w:space="1"/>
      </w:pBdr>
      <w:tabs>
        <w:tab w:val="center" w:pos="4153"/>
        <w:tab w:val="right" w:pos="8306"/>
      </w:tabs>
      <w:jc w:val="center"/>
    </w:pPr>
    <w:rPr>
      <w:sz w:val="18"/>
      <w:szCs w:val="18"/>
    </w:rPr>
  </w:style>
  <w:style w:type="paragraph" w:styleId="34">
    <w:name w:val="toc 1"/>
    <w:basedOn w:val="1"/>
    <w:next w:val="1"/>
    <w:semiHidden/>
    <w:qFormat/>
    <w:uiPriority w:val="0"/>
    <w:pPr>
      <w:tabs>
        <w:tab w:val="right" w:leader="dot" w:pos="9440"/>
      </w:tabs>
      <w:spacing w:before="120" w:after="120" w:line="300" w:lineRule="exact"/>
      <w:jc w:val="left"/>
    </w:pPr>
    <w:rPr>
      <w:rFonts w:ascii="黑体" w:eastAsia="黑体"/>
      <w:b/>
      <w:caps/>
      <w:sz w:val="18"/>
      <w:szCs w:val="28"/>
    </w:rPr>
  </w:style>
  <w:style w:type="paragraph" w:styleId="35">
    <w:name w:val="toc 4"/>
    <w:basedOn w:val="1"/>
    <w:next w:val="1"/>
    <w:semiHidden/>
    <w:qFormat/>
    <w:uiPriority w:val="0"/>
    <w:pPr>
      <w:ind w:left="1260" w:leftChars="600"/>
    </w:pPr>
  </w:style>
  <w:style w:type="paragraph" w:styleId="36">
    <w:name w:val="toc 6"/>
    <w:basedOn w:val="1"/>
    <w:next w:val="1"/>
    <w:semiHidden/>
    <w:qFormat/>
    <w:uiPriority w:val="0"/>
    <w:pPr>
      <w:ind w:left="2100" w:leftChars="1000"/>
    </w:pPr>
  </w:style>
  <w:style w:type="paragraph" w:styleId="37">
    <w:name w:val="Body Text Indent 3"/>
    <w:basedOn w:val="1"/>
    <w:qFormat/>
    <w:uiPriority w:val="0"/>
    <w:pPr>
      <w:ind w:firstLine="523"/>
    </w:pPr>
    <w:rPr>
      <w:rFonts w:ascii="仿宋_GB2312" w:hAnsi="宋体" w:eastAsia="仿宋_GB2312"/>
      <w:sz w:val="24"/>
    </w:rPr>
  </w:style>
  <w:style w:type="paragraph" w:styleId="38">
    <w:name w:val="toc 2"/>
    <w:basedOn w:val="1"/>
    <w:next w:val="1"/>
    <w:semiHidden/>
    <w:qFormat/>
    <w:uiPriority w:val="0"/>
    <w:pPr>
      <w:tabs>
        <w:tab w:val="right" w:leader="dot" w:pos="9440"/>
      </w:tabs>
      <w:spacing w:line="260" w:lineRule="exact"/>
      <w:jc w:val="left"/>
    </w:pPr>
    <w:rPr>
      <w:rFonts w:ascii="黑体" w:eastAsia="黑体"/>
      <w:b/>
      <w:bCs/>
      <w:smallCaps/>
      <w:sz w:val="18"/>
      <w:szCs w:val="44"/>
    </w:rPr>
  </w:style>
  <w:style w:type="paragraph" w:styleId="39">
    <w:name w:val="Body Text 2"/>
    <w:basedOn w:val="1"/>
    <w:qFormat/>
    <w:uiPriority w:val="0"/>
    <w:pPr>
      <w:jc w:val="center"/>
    </w:pPr>
    <w:rPr>
      <w:rFonts w:ascii="仿宋_GB2312" w:eastAsia="仿宋_GB2312"/>
      <w:sz w:val="44"/>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rPr>
      <w:rFonts w:ascii="宋体" w:hAnsi="宋体"/>
      <w:szCs w:val="18"/>
    </w:rPr>
  </w:style>
  <w:style w:type="paragraph" w:styleId="43">
    <w:name w:val="annotation subject"/>
    <w:basedOn w:val="18"/>
    <w:next w:val="18"/>
    <w:link w:val="64"/>
    <w:qFormat/>
    <w:uiPriority w:val="0"/>
    <w:rPr>
      <w:b/>
      <w:bCs/>
    </w:rPr>
  </w:style>
  <w:style w:type="paragraph" w:styleId="44">
    <w:name w:val="Body Text First Indent 2"/>
    <w:basedOn w:val="21"/>
    <w:link w:val="90"/>
    <w:qFormat/>
    <w:uiPriority w:val="0"/>
    <w:pPr>
      <w:spacing w:after="120"/>
      <w:ind w:left="420" w:leftChars="200" w:firstLine="420" w:firstLineChars="200"/>
    </w:pPr>
    <w:rPr>
      <w:rFonts w:ascii="Times New Roman" w:eastAsia="宋体"/>
      <w:sz w:val="21"/>
      <w:szCs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link w:val="1"/>
    <w:qFormat/>
    <w:uiPriority w:val="0"/>
    <w:rPr>
      <w:b/>
      <w:bCs/>
    </w:rPr>
  </w:style>
  <w:style w:type="character" w:styleId="49">
    <w:name w:val="page number"/>
    <w:link w:val="1"/>
    <w:qFormat/>
    <w:uiPriority w:val="0"/>
  </w:style>
  <w:style w:type="character" w:styleId="50">
    <w:name w:val="FollowedHyperlink"/>
    <w:link w:val="1"/>
    <w:qFormat/>
    <w:uiPriority w:val="0"/>
    <w:rPr>
      <w:color w:val="000000"/>
      <w:u w:val="none"/>
    </w:rPr>
  </w:style>
  <w:style w:type="character" w:styleId="51">
    <w:name w:val="Emphasis"/>
    <w:link w:val="1"/>
    <w:qFormat/>
    <w:uiPriority w:val="0"/>
    <w:rPr>
      <w:i/>
    </w:rPr>
  </w:style>
  <w:style w:type="character" w:styleId="52">
    <w:name w:val="Hyperlink"/>
    <w:link w:val="1"/>
    <w:qFormat/>
    <w:uiPriority w:val="0"/>
    <w:rPr>
      <w:color w:val="000000"/>
      <w:u w:val="none"/>
    </w:rPr>
  </w:style>
  <w:style w:type="character" w:styleId="53">
    <w:name w:val="annotation reference"/>
    <w:link w:val="1"/>
    <w:qFormat/>
    <w:uiPriority w:val="0"/>
    <w:rPr>
      <w:sz w:val="21"/>
      <w:szCs w:val="21"/>
    </w:rPr>
  </w:style>
  <w:style w:type="character" w:customStyle="1" w:styleId="54">
    <w:name w:val="jj1"/>
    <w:qFormat/>
    <w:uiPriority w:val="0"/>
    <w:rPr>
      <w:sz w:val="20"/>
      <w:szCs w:val="20"/>
      <w:u w:val="none"/>
    </w:rPr>
  </w:style>
  <w:style w:type="paragraph" w:customStyle="1" w:styleId="55">
    <w:name w:val="正文_2"/>
    <w:qFormat/>
    <w:uiPriority w:val="0"/>
    <w:pPr>
      <w:autoSpaceDE/>
      <w:autoSpaceDN/>
      <w:snapToGrid/>
    </w:pPr>
    <w:rPr>
      <w:rFonts w:ascii="Calibri" w:hAnsi="Calibri" w:eastAsia="宋体" w:cs="Calibri"/>
      <w:kern w:val="2"/>
      <w:sz w:val="21"/>
      <w:szCs w:val="22"/>
      <w:lang w:val="en-US" w:eastAsia="zh-CN" w:bidi="ar-SA"/>
    </w:rPr>
  </w:style>
  <w:style w:type="paragraph" w:customStyle="1" w:styleId="56">
    <w:name w:val="Char Char Char Char"/>
    <w:basedOn w:val="17"/>
    <w:qFormat/>
    <w:uiPriority w:val="0"/>
    <w:pPr>
      <w:spacing w:line="360" w:lineRule="auto"/>
    </w:pPr>
    <w:rPr>
      <w:rFonts w:ascii="Tahoma" w:hAnsi="Tahoma"/>
      <w:sz w:val="24"/>
    </w:rPr>
  </w:style>
  <w:style w:type="paragraph" w:customStyle="1" w:styleId="57">
    <w:name w:val="正文_0_0_0_0"/>
    <w:qFormat/>
    <w:uiPriority w:val="0"/>
    <w:pPr>
      <w:widowControl w:val="0"/>
      <w:autoSpaceDE/>
      <w:autoSpaceDN/>
      <w:snapToGrid/>
      <w:jc w:val="both"/>
    </w:pPr>
    <w:rPr>
      <w:rFonts w:ascii="Calibri" w:hAnsi="Calibri" w:eastAsia="宋体" w:cs="Calibri"/>
      <w:kern w:val="2"/>
      <w:sz w:val="21"/>
      <w:szCs w:val="22"/>
      <w:lang w:val="en-US" w:eastAsia="zh-CN" w:bidi="ar-SA"/>
    </w:rPr>
  </w:style>
  <w:style w:type="paragraph" w:customStyle="1" w:styleId="58">
    <w:name w:val="正文_1_0"/>
    <w:qFormat/>
    <w:uiPriority w:val="0"/>
    <w:pPr>
      <w:autoSpaceDE/>
      <w:autoSpaceDN/>
      <w:snapToGrid/>
    </w:pPr>
    <w:rPr>
      <w:rFonts w:ascii="Calibri" w:hAnsi="Calibri" w:eastAsia="宋体" w:cs="Calibri"/>
      <w:kern w:val="2"/>
      <w:sz w:val="21"/>
      <w:szCs w:val="22"/>
      <w:lang w:val="en-US" w:eastAsia="zh-CN" w:bidi="ar-SA"/>
    </w:rPr>
  </w:style>
  <w:style w:type="paragraph" w:customStyle="1" w:styleId="59">
    <w:name w:val="标题2"/>
    <w:basedOn w:val="1"/>
    <w:next w:val="1"/>
    <w:qFormat/>
    <w:uiPriority w:val="0"/>
    <w:pPr>
      <w:jc w:val="center"/>
    </w:pPr>
    <w:rPr>
      <w:rFonts w:eastAsia="方正楷体_GBK"/>
    </w:rPr>
  </w:style>
  <w:style w:type="character" w:customStyle="1" w:styleId="60">
    <w:name w:val="标题 1 Char"/>
    <w:link w:val="10"/>
    <w:qFormat/>
    <w:uiPriority w:val="0"/>
    <w:rPr>
      <w:rFonts w:ascii="楷体_GB2312" w:eastAsia="楷体_GB2312"/>
      <w:kern w:val="2"/>
      <w:sz w:val="28"/>
      <w:lang w:val="en-US" w:eastAsia="zh-CN" w:bidi="ar-SA"/>
    </w:rPr>
  </w:style>
  <w:style w:type="character" w:customStyle="1" w:styleId="61">
    <w:name w:val="页眉 Char"/>
    <w:link w:val="33"/>
    <w:qFormat/>
    <w:uiPriority w:val="99"/>
    <w:rPr>
      <w:kern w:val="2"/>
      <w:sz w:val="18"/>
      <w:szCs w:val="18"/>
    </w:rPr>
  </w:style>
  <w:style w:type="paragraph" w:customStyle="1" w:styleId="62">
    <w:name w:val="正文空2格  1."/>
    <w:basedOn w:val="1"/>
    <w:qFormat/>
    <w:uiPriority w:val="0"/>
    <w:pPr>
      <w:spacing w:line="360" w:lineRule="auto"/>
      <w:ind w:firstLine="480" w:firstLineChars="200"/>
    </w:pPr>
    <w:rPr>
      <w:rFonts w:ascii="宋体" w:eastAsia="仿宋" w:cs="宋体"/>
      <w:kern w:val="0"/>
      <w:sz w:val="28"/>
      <w:szCs w:val="20"/>
    </w:rPr>
  </w:style>
  <w:style w:type="paragraph" w:customStyle="1" w:styleId="63">
    <w:name w:val="c-line-clamp1"/>
    <w:basedOn w:val="1"/>
    <w:qFormat/>
    <w:uiPriority w:val="0"/>
    <w:pPr>
      <w:jc w:val="left"/>
    </w:pPr>
    <w:rPr>
      <w:kern w:val="0"/>
      <w:lang w:val="en-US" w:eastAsia="zh-CN" w:bidi="ar"/>
    </w:rPr>
  </w:style>
  <w:style w:type="character" w:customStyle="1" w:styleId="64">
    <w:name w:val="批注主题 Char"/>
    <w:link w:val="43"/>
    <w:qFormat/>
    <w:uiPriority w:val="0"/>
    <w:rPr>
      <w:b/>
      <w:bCs/>
      <w:kern w:val="2"/>
      <w:sz w:val="21"/>
      <w:szCs w:val="24"/>
    </w:rPr>
  </w:style>
  <w:style w:type="paragraph" w:customStyle="1" w:styleId="65">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66">
    <w:name w:val="正文_0"/>
    <w:qFormat/>
    <w:uiPriority w:val="0"/>
    <w:pPr>
      <w:widowControl w:val="0"/>
      <w:autoSpaceDE/>
      <w:autoSpaceDN/>
      <w:snapToGrid/>
      <w:jc w:val="both"/>
    </w:pPr>
    <w:rPr>
      <w:rFonts w:ascii="Calibri" w:hAnsi="Calibri" w:eastAsia="宋体" w:cs="Calibri"/>
      <w:kern w:val="2"/>
      <w:sz w:val="21"/>
      <w:szCs w:val="22"/>
      <w:lang w:val="en-US" w:eastAsia="zh-CN" w:bidi="ar-SA"/>
    </w:rPr>
  </w:style>
  <w:style w:type="paragraph" w:customStyle="1" w:styleId="67">
    <w:name w:val="段"/>
    <w:next w:val="1"/>
    <w:qFormat/>
    <w:uiPriority w:val="0"/>
    <w:pPr>
      <w:autoSpaceDE w:val="0"/>
      <w:autoSpaceDN w:val="0"/>
      <w:snapToGrid/>
      <w:ind w:firstLine="420" w:firstLineChars="200"/>
      <w:jc w:val="both"/>
    </w:pPr>
    <w:rPr>
      <w:rFonts w:ascii="宋体" w:hAnsi="Calibri" w:eastAsia="宋体" w:cs="Calibri"/>
      <w:kern w:val="2"/>
      <w:sz w:val="21"/>
      <w:szCs w:val="22"/>
      <w:lang w:val="en-US" w:eastAsia="zh-CN" w:bidi="ar-SA"/>
    </w:rPr>
  </w:style>
  <w:style w:type="character" w:customStyle="1" w:styleId="68">
    <w:name w:val="列出段落 Char"/>
    <w:link w:val="69"/>
    <w:qFormat/>
    <w:locked/>
    <w:uiPriority w:val="0"/>
    <w:rPr>
      <w:rFonts w:ascii="Calibri" w:hAnsi="Calibri"/>
      <w:sz w:val="24"/>
      <w:szCs w:val="24"/>
      <w:lang w:eastAsia="en-US" w:bidi="en-US"/>
    </w:rPr>
  </w:style>
  <w:style w:type="paragraph" w:customStyle="1" w:styleId="69">
    <w:name w:val="列出段落1"/>
    <w:basedOn w:val="1"/>
    <w:link w:val="68"/>
    <w:qFormat/>
    <w:uiPriority w:val="0"/>
    <w:pPr>
      <w:widowControl/>
      <w:ind w:left="720"/>
      <w:contextualSpacing/>
      <w:jc w:val="left"/>
    </w:pPr>
    <w:rPr>
      <w:kern w:val="0"/>
      <w:sz w:val="24"/>
      <w:lang w:eastAsia="en-US" w:bidi="en-US"/>
    </w:rPr>
  </w:style>
  <w:style w:type="paragraph" w:customStyle="1" w:styleId="70">
    <w:name w:val="Table Paragraph"/>
    <w:basedOn w:val="1"/>
    <w:qFormat/>
    <w:uiPriority w:val="99"/>
    <w:pPr>
      <w:jc w:val="left"/>
    </w:pPr>
    <w:rPr>
      <w:rFonts w:ascii="Calibri" w:hAnsi="Calibri" w:cs="Calibri"/>
      <w:kern w:val="0"/>
      <w:sz w:val="22"/>
      <w:lang w:eastAsia="en-US"/>
    </w:rPr>
  </w:style>
  <w:style w:type="paragraph" w:customStyle="1" w:styleId="71">
    <w:name w:val="Blockquote"/>
    <w:basedOn w:val="1"/>
    <w:qFormat/>
    <w:uiPriority w:val="0"/>
    <w:pPr>
      <w:widowControl w:val="0"/>
      <w:autoSpaceDE w:val="0"/>
      <w:autoSpaceDN w:val="0"/>
      <w:spacing w:before="100" w:after="100"/>
      <w:ind w:left="360" w:right="360"/>
    </w:pPr>
    <w:rPr>
      <w:sz w:val="24"/>
    </w:rPr>
  </w:style>
  <w:style w:type="paragraph" w:customStyle="1" w:styleId="72">
    <w:name w:val="Normal1"/>
    <w:basedOn w:val="1"/>
    <w:qFormat/>
    <w:uiPriority w:val="99"/>
    <w:rPr>
      <w:rFonts w:eastAsia="Calibri" w:cs="宋体"/>
      <w:color w:val="000000"/>
      <w:sz w:val="20"/>
      <w:szCs w:val="20"/>
      <w:lang w:val="zh-CN"/>
    </w:rPr>
  </w:style>
  <w:style w:type="character" w:customStyle="1" w:styleId="73">
    <w:name w:val="Variable"/>
    <w:link w:val="1"/>
    <w:qFormat/>
    <w:uiPriority w:val="0"/>
    <w:rPr>
      <w:i/>
    </w:rPr>
  </w:style>
  <w:style w:type="paragraph" w:customStyle="1" w:styleId="74">
    <w:name w:val="正文_0_0_0"/>
    <w:qFormat/>
    <w:uiPriority w:val="0"/>
    <w:pPr>
      <w:widowControl w:val="0"/>
      <w:autoSpaceDE/>
      <w:autoSpaceDN/>
      <w:snapToGrid/>
      <w:jc w:val="both"/>
    </w:pPr>
    <w:rPr>
      <w:rFonts w:ascii="Calibri" w:hAnsi="Calibri" w:eastAsia="宋体" w:cs="Calibri"/>
      <w:kern w:val="2"/>
      <w:sz w:val="21"/>
      <w:szCs w:val="22"/>
      <w:lang w:val="en-US" w:eastAsia="zh-CN" w:bidi="ar-SA"/>
    </w:rPr>
  </w:style>
  <w:style w:type="paragraph" w:customStyle="1" w:styleId="75">
    <w:name w:val="Blockquote_0"/>
    <w:basedOn w:val="74"/>
    <w:qFormat/>
    <w:uiPriority w:val="0"/>
    <w:pPr>
      <w:autoSpaceDE w:val="0"/>
      <w:autoSpaceDN w:val="0"/>
      <w:spacing w:before="100" w:after="100"/>
      <w:ind w:left="360" w:right="360"/>
    </w:pPr>
    <w:rPr>
      <w:kern w:val="0"/>
      <w:sz w:val="24"/>
    </w:rPr>
  </w:style>
  <w:style w:type="paragraph" w:customStyle="1" w:styleId="76">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77">
    <w:name w:val="列出段落"/>
    <w:basedOn w:val="1"/>
    <w:qFormat/>
    <w:uiPriority w:val="0"/>
    <w:pPr>
      <w:ind w:firstLine="420" w:firstLineChars="200"/>
    </w:pPr>
    <w:rPr>
      <w:rFonts w:ascii="Calibri" w:hAnsi="Calibri"/>
      <w:szCs w:val="22"/>
    </w:rPr>
  </w:style>
  <w:style w:type="paragraph" w:customStyle="1" w:styleId="78">
    <w:name w:val="标题3"/>
    <w:basedOn w:val="1"/>
    <w:next w:val="1"/>
    <w:qFormat/>
    <w:uiPriority w:val="0"/>
    <w:rPr>
      <w:rFonts w:eastAsia="方正黑体_GBK"/>
    </w:rPr>
  </w:style>
  <w:style w:type="character" w:customStyle="1" w:styleId="79">
    <w:name w:val="正文文本缩进 Char"/>
    <w:link w:val="21"/>
    <w:qFormat/>
    <w:uiPriority w:val="0"/>
    <w:rPr>
      <w:rFonts w:ascii="楷体_GB2312" w:eastAsia="楷体_GB2312"/>
      <w:kern w:val="2"/>
      <w:sz w:val="32"/>
    </w:rPr>
  </w:style>
  <w:style w:type="paragraph" w:customStyle="1" w:styleId="80">
    <w:name w:val="附录1"/>
    <w:qFormat/>
    <w:uiPriority w:val="0"/>
    <w:pPr>
      <w:numPr>
        <w:ilvl w:val="0"/>
        <w:numId w:val="2"/>
      </w:numPr>
      <w:tabs>
        <w:tab w:val="clear" w:pos="907"/>
      </w:tabs>
      <w:autoSpaceDE/>
      <w:autoSpaceDN/>
      <w:snapToGrid/>
      <w:spacing w:before="240" w:line="600" w:lineRule="atLeast"/>
    </w:pPr>
    <w:rPr>
      <w:rFonts w:ascii="Calibri" w:hAnsi="Calibri" w:eastAsia="宋体" w:cs="Calibri"/>
      <w:b/>
      <w:i/>
      <w:kern w:val="2"/>
      <w:sz w:val="28"/>
      <w:szCs w:val="22"/>
      <w:lang w:val="en-US" w:eastAsia="zh-CN" w:bidi="ar-SA"/>
    </w:rPr>
  </w:style>
  <w:style w:type="paragraph" w:customStyle="1" w:styleId="81">
    <w:name w:val="Coms Alinea"/>
    <w:qFormat/>
    <w:uiPriority w:val="0"/>
    <w:pPr>
      <w:widowControl w:val="0"/>
      <w:autoSpaceDE/>
      <w:autoSpaceDN/>
      <w:snapToGrid/>
    </w:pPr>
    <w:rPr>
      <w:rFonts w:ascii="Arial" w:hAnsi="Arial" w:eastAsia="宋体" w:cs="Arial"/>
      <w:kern w:val="2"/>
      <w:sz w:val="21"/>
      <w:szCs w:val="22"/>
      <w:lang w:val="en-US" w:eastAsia="zh-CN" w:bidi="ar-SA"/>
    </w:rPr>
  </w:style>
  <w:style w:type="character" w:customStyle="1" w:styleId="82">
    <w:name w:val="纯文本 Char"/>
    <w:basedOn w:val="47"/>
    <w:link w:val="26"/>
    <w:qFormat/>
    <w:uiPriority w:val="0"/>
    <w:rPr>
      <w:rFonts w:hint="eastAsia" w:ascii="宋体" w:hAnsi="Courier New" w:eastAsia="宋体" w:cs="Times New Roman"/>
      <w:szCs w:val="20"/>
    </w:rPr>
  </w:style>
  <w:style w:type="character" w:customStyle="1" w:styleId="83">
    <w:name w:val="标题2 Char"/>
    <w:link w:val="1"/>
    <w:qFormat/>
    <w:uiPriority w:val="0"/>
    <w:rPr>
      <w:rFonts w:ascii="方正楷体_GBK" w:hAnsi="Book Antiqua" w:eastAsia="方正楷体_GBK"/>
      <w:snapToGrid w:val="0"/>
      <w:sz w:val="32"/>
      <w:lang w:val="en-US" w:eastAsia="zh-CN" w:bidi="ar-SA"/>
    </w:rPr>
  </w:style>
  <w:style w:type="paragraph" w:customStyle="1" w:styleId="84">
    <w:name w:val="标题 4_0"/>
    <w:basedOn w:val="66"/>
    <w:next w:val="57"/>
    <w:qFormat/>
    <w:uiPriority w:val="0"/>
    <w:pPr>
      <w:keepNext/>
      <w:keepLines/>
      <w:spacing w:before="280" w:after="290" w:line="372" w:lineRule="auto"/>
      <w:outlineLvl w:val="3"/>
    </w:pPr>
    <w:rPr>
      <w:rFonts w:ascii="Cambria" w:hAnsi="Cambria"/>
      <w:b/>
      <w:bCs/>
      <w:sz w:val="28"/>
      <w:szCs w:val="28"/>
    </w:rPr>
  </w:style>
  <w:style w:type="character" w:customStyle="1" w:styleId="85">
    <w:name w:val="小四 段落 宋体 Char Char Char1"/>
    <w:link w:val="1"/>
    <w:qFormat/>
    <w:uiPriority w:val="0"/>
    <w:rPr>
      <w:rFonts w:ascii="宋体" w:hAnsi="宋体" w:eastAsia="宋体"/>
      <w:kern w:val="2"/>
      <w:sz w:val="24"/>
      <w:szCs w:val="24"/>
      <w:lang w:val="en-US" w:eastAsia="zh-CN" w:bidi="ar-SA"/>
    </w:rPr>
  </w:style>
  <w:style w:type="paragraph" w:customStyle="1" w:styleId="86">
    <w:name w:val="正文 1.1"/>
    <w:basedOn w:val="1"/>
    <w:next w:val="87"/>
    <w:qFormat/>
    <w:uiPriority w:val="0"/>
    <w:pPr>
      <w:numPr>
        <w:ilvl w:val="1"/>
        <w:numId w:val="3"/>
      </w:numPr>
      <w:tabs>
        <w:tab w:val="clear" w:pos="851"/>
      </w:tabs>
      <w:spacing w:line="360" w:lineRule="auto"/>
      <w:ind w:left="980" w:hanging="980" w:hangingChars="350"/>
      <w:outlineLvl w:val="1"/>
    </w:pPr>
    <w:rPr>
      <w:rFonts w:ascii="仿宋" w:hAnsi="仿宋" w:eastAsia="仿宋"/>
      <w:b/>
      <w:kern w:val="0"/>
      <w:sz w:val="28"/>
      <w:szCs w:val="21"/>
    </w:rPr>
  </w:style>
  <w:style w:type="paragraph" w:customStyle="1" w:styleId="87">
    <w:name w:val="正文 1.1.1"/>
    <w:basedOn w:val="1"/>
    <w:next w:val="1"/>
    <w:qFormat/>
    <w:uiPriority w:val="0"/>
    <w:pPr>
      <w:numPr>
        <w:ilvl w:val="2"/>
        <w:numId w:val="3"/>
      </w:numPr>
      <w:tabs>
        <w:tab w:val="clear" w:pos="851"/>
      </w:tabs>
      <w:spacing w:line="360" w:lineRule="auto"/>
      <w:outlineLvl w:val="2"/>
    </w:pPr>
    <w:rPr>
      <w:rFonts w:ascii="宋体" w:hAnsi="宋体"/>
      <w:color w:val="000000"/>
      <w:kern w:val="0"/>
      <w:sz w:val="28"/>
      <w:szCs w:val="21"/>
    </w:rPr>
  </w:style>
  <w:style w:type="paragraph" w:customStyle="1" w:styleId="88">
    <w:name w:val="普通正文"/>
    <w:basedOn w:val="1"/>
    <w:qFormat/>
    <w:uiPriority w:val="0"/>
    <w:pPr>
      <w:spacing w:before="120" w:after="120" w:line="360" w:lineRule="auto"/>
      <w:ind w:firstLine="480"/>
      <w:jc w:val="left"/>
    </w:pPr>
    <w:rPr>
      <w:rFonts w:ascii="Arial" w:hAnsi="Arial"/>
      <w:kern w:val="0"/>
      <w:sz w:val="24"/>
    </w:rPr>
  </w:style>
  <w:style w:type="paragraph" w:customStyle="1" w:styleId="89">
    <w:name w:val="正文1"/>
    <w:qFormat/>
    <w:uiPriority w:val="0"/>
    <w:pPr>
      <w:autoSpaceDE/>
      <w:autoSpaceDN/>
      <w:snapToGrid/>
    </w:pPr>
    <w:rPr>
      <w:rFonts w:ascii="Calibri" w:hAnsi="Calibri" w:eastAsia="宋体" w:cs="Calibri"/>
      <w:kern w:val="2"/>
      <w:sz w:val="21"/>
      <w:szCs w:val="22"/>
      <w:lang w:val="en-US" w:eastAsia="zh-CN" w:bidi="ar-SA"/>
    </w:rPr>
  </w:style>
  <w:style w:type="character" w:customStyle="1" w:styleId="90">
    <w:name w:val="正文首行缩进 2 Char"/>
    <w:link w:val="44"/>
    <w:qFormat/>
    <w:uiPriority w:val="0"/>
  </w:style>
  <w:style w:type="paragraph" w:customStyle="1" w:styleId="91">
    <w:name w:val="_Style 116"/>
    <w:qFormat/>
    <w:uiPriority w:val="99"/>
    <w:pPr>
      <w:autoSpaceDE/>
      <w:autoSpaceDN/>
      <w:snapToGrid/>
    </w:pPr>
    <w:rPr>
      <w:rFonts w:ascii="Times New Roman" w:hAnsi="Times New Roman" w:eastAsia="宋体" w:cs="Times New Roman"/>
      <w:kern w:val="2"/>
      <w:sz w:val="24"/>
      <w:szCs w:val="22"/>
      <w:lang w:val="en-US" w:eastAsia="zh-CN" w:bidi="ar-SA"/>
    </w:rPr>
  </w:style>
  <w:style w:type="paragraph" w:customStyle="1" w:styleId="92">
    <w:name w:val="Table Text"/>
    <w:qFormat/>
    <w:uiPriority w:val="0"/>
    <w:pPr>
      <w:autoSpaceDE/>
      <w:autoSpaceDN/>
      <w:snapToGrid/>
      <w:spacing w:before="143" w:after="80"/>
      <w:jc w:val="center"/>
    </w:pPr>
    <w:rPr>
      <w:rFonts w:ascii="仿宋_GB2312" w:hAnsi="宋体" w:eastAsia="仿宋_GB2312" w:cs="Calibri"/>
      <w:kern w:val="2"/>
      <w:sz w:val="24"/>
      <w:szCs w:val="22"/>
      <w:lang w:val="en-US" w:eastAsia="zh-CN" w:bidi="ar-SA"/>
    </w:rPr>
  </w:style>
  <w:style w:type="paragraph" w:customStyle="1" w:styleId="93">
    <w:name w:val="Default"/>
    <w:qFormat/>
    <w:uiPriority w:val="0"/>
    <w:pPr>
      <w:widowControl w:val="0"/>
      <w:autoSpaceDE w:val="0"/>
      <w:autoSpaceDN w:val="0"/>
      <w:snapToGrid/>
    </w:pPr>
    <w:rPr>
      <w:rFonts w:ascii="宋体" w:hAnsi="Calibri" w:eastAsia="宋体" w:cs="宋体"/>
      <w:color w:val="000000"/>
      <w:kern w:val="2"/>
      <w:sz w:val="24"/>
      <w:szCs w:val="24"/>
      <w:lang w:val="en-US" w:eastAsia="zh-CN" w:bidi="ar-SA"/>
    </w:rPr>
  </w:style>
  <w:style w:type="paragraph" w:customStyle="1" w:styleId="94">
    <w:name w:val="BioQuote Tekst"/>
    <w:basedOn w:val="1"/>
    <w:qFormat/>
    <w:uiPriority w:val="0"/>
    <w:pPr>
      <w:ind w:right="-1"/>
    </w:pPr>
    <w:rPr>
      <w:rFonts w:ascii="Arial" w:hAnsi="Arial"/>
      <w:snapToGrid w:val="0"/>
      <w:kern w:val="0"/>
      <w:sz w:val="22"/>
      <w:szCs w:val="20"/>
      <w:lang w:eastAsia="en-US"/>
    </w:rPr>
  </w:style>
  <w:style w:type="paragraph" w:customStyle="1" w:styleId="95">
    <w:name w:val="xl47"/>
    <w:basedOn w:val="1"/>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96">
    <w:name w:val="正文_0_0"/>
    <w:qFormat/>
    <w:uiPriority w:val="0"/>
    <w:pPr>
      <w:widowControl w:val="0"/>
      <w:autoSpaceDE/>
      <w:autoSpaceDN/>
      <w:snapToGrid/>
      <w:jc w:val="both"/>
    </w:pPr>
    <w:rPr>
      <w:rFonts w:ascii="Calibri" w:hAnsi="Calibri" w:eastAsia="宋体" w:cs="Calibri"/>
      <w:kern w:val="2"/>
      <w:sz w:val="21"/>
      <w:szCs w:val="22"/>
      <w:lang w:val="en-US" w:eastAsia="zh-CN" w:bidi="ar-SA"/>
    </w:rPr>
  </w:style>
  <w:style w:type="character" w:customStyle="1" w:styleId="97">
    <w:name w:val="页脚 Char"/>
    <w:link w:val="31"/>
    <w:qFormat/>
    <w:uiPriority w:val="99"/>
    <w:rPr>
      <w:kern w:val="2"/>
      <w:sz w:val="18"/>
    </w:rPr>
  </w:style>
  <w:style w:type="paragraph" w:customStyle="1" w:styleId="98">
    <w:name w:val="Normal11"/>
    <w:qFormat/>
    <w:uiPriority w:val="0"/>
    <w:pPr>
      <w:widowControl w:val="0"/>
      <w:autoSpaceDE/>
      <w:autoSpaceDN/>
      <w:snapToGrid/>
      <w:jc w:val="both"/>
    </w:pPr>
    <w:rPr>
      <w:rFonts w:ascii="Calibri" w:hAnsi="Calibri" w:eastAsia="宋体" w:cs="Calibri"/>
      <w:kern w:val="2"/>
      <w:sz w:val="21"/>
      <w:szCs w:val="22"/>
      <w:lang w:val="en-US" w:eastAsia="zh-CN" w:bidi="ar-SA"/>
    </w:rPr>
  </w:style>
  <w:style w:type="character" w:customStyle="1" w:styleId="99">
    <w:name w:val="fontstyle01"/>
    <w:link w:val="1"/>
    <w:qFormat/>
    <w:uiPriority w:val="0"/>
    <w:rPr>
      <w:rFonts w:hint="eastAsia" w:ascii="宋体" w:hAnsi="宋体" w:eastAsia="宋体"/>
      <w:color w:val="000000"/>
      <w:sz w:val="22"/>
      <w:szCs w:val="22"/>
    </w:rPr>
  </w:style>
  <w:style w:type="paragraph" w:customStyle="1" w:styleId="100">
    <w:name w:val="标题 3_0"/>
    <w:basedOn w:val="57"/>
    <w:next w:val="57"/>
    <w:qFormat/>
    <w:uiPriority w:val="9"/>
    <w:pPr>
      <w:keepNext/>
      <w:keepLines/>
      <w:spacing w:before="260" w:after="260" w:line="413" w:lineRule="auto"/>
      <w:outlineLvl w:val="2"/>
    </w:pPr>
    <w:rPr>
      <w:b/>
      <w:bCs/>
      <w:kern w:val="0"/>
      <w:sz w:val="32"/>
      <w:szCs w:val="32"/>
    </w:rPr>
  </w:style>
  <w:style w:type="paragraph" w:customStyle="1" w:styleId="101">
    <w:name w:val="第四级"/>
    <w:basedOn w:val="1"/>
    <w:next w:val="1"/>
    <w:qFormat/>
    <w:uiPriority w:val="0"/>
    <w:pPr>
      <w:numPr>
        <w:ilvl w:val="3"/>
        <w:numId w:val="3"/>
      </w:numPr>
      <w:tabs>
        <w:tab w:val="clear" w:pos="1134"/>
      </w:tabs>
      <w:spacing w:line="360" w:lineRule="auto"/>
    </w:pPr>
    <w:rPr>
      <w:rFonts w:ascii="宋体" w:hAnsi="宋体" w:eastAsia="仿宋"/>
      <w:kern w:val="0"/>
      <w:sz w:val="28"/>
      <w:szCs w:val="21"/>
    </w:rPr>
  </w:style>
  <w:style w:type="character" w:customStyle="1" w:styleId="102">
    <w:name w:val="NormalCharacter1"/>
    <w:link w:val="1"/>
    <w:semiHidden/>
    <w:qFormat/>
    <w:uiPriority w:val="0"/>
  </w:style>
  <w:style w:type="character" w:customStyle="1" w:styleId="103">
    <w:name w:val="正文缩进 Char"/>
    <w:link w:val="12"/>
    <w:qFormat/>
    <w:uiPriority w:val="0"/>
    <w:rPr>
      <w:rFonts w:eastAsia="宋体"/>
      <w:kern w:val="2"/>
      <w:sz w:val="21"/>
      <w:lang w:val="en-US" w:eastAsia="zh-CN" w:bidi="ar-SA"/>
    </w:rPr>
  </w:style>
  <w:style w:type="paragraph" w:customStyle="1" w:styleId="104">
    <w:name w:val="默认段落字体 Para Char Char Char Char Char Char Char Char Char1 Char Char Char Char Char Char Char"/>
    <w:basedOn w:val="17"/>
    <w:qFormat/>
    <w:uiPriority w:val="0"/>
    <w:rPr>
      <w:rFonts w:ascii="Tahoma" w:hAnsi="Tahoma"/>
      <w:sz w:val="24"/>
    </w:rPr>
  </w:style>
  <w:style w:type="paragraph" w:customStyle="1" w:styleId="105">
    <w:name w:val=" Char"/>
    <w:basedOn w:val="1"/>
    <w:qFormat/>
    <w:uiPriority w:val="0"/>
    <w:rPr>
      <w:rFonts w:ascii="Tahoma" w:hAnsi="Tahoma"/>
      <w:snapToGrid w:val="0"/>
      <w:sz w:val="24"/>
      <w:szCs w:val="20"/>
    </w:rPr>
  </w:style>
  <w:style w:type="paragraph" w:customStyle="1" w:styleId="106">
    <w:name w:val="Char Char Char Char1 Char Char Char"/>
    <w:basedOn w:val="17"/>
    <w:qFormat/>
    <w:uiPriority w:val="0"/>
    <w:pPr>
      <w:spacing w:line="360" w:lineRule="auto"/>
    </w:pPr>
    <w:rPr>
      <w:rFonts w:ascii="Tahoma" w:hAnsi="Tahoma"/>
      <w:sz w:val="24"/>
    </w:rPr>
  </w:style>
  <w:style w:type="paragraph" w:customStyle="1" w:styleId="107">
    <w:name w:val="正文 第一章"/>
    <w:basedOn w:val="1"/>
    <w:next w:val="86"/>
    <w:qFormat/>
    <w:uiPriority w:val="0"/>
    <w:pPr>
      <w:pageBreakBefore/>
      <w:numPr>
        <w:ilvl w:val="0"/>
        <w:numId w:val="3"/>
      </w:numPr>
      <w:spacing w:before="240" w:after="240" w:line="480" w:lineRule="auto"/>
      <w:jc w:val="center"/>
      <w:outlineLvl w:val="0"/>
    </w:pPr>
    <w:rPr>
      <w:rFonts w:ascii="黑体" w:hAnsi="宋体" w:eastAsia="黑体"/>
      <w:kern w:val="0"/>
      <w:sz w:val="36"/>
      <w:szCs w:val="21"/>
    </w:rPr>
  </w:style>
  <w:style w:type="character" w:customStyle="1" w:styleId="108">
    <w:name w:val=" Char Char7"/>
    <w:link w:val="11"/>
    <w:qFormat/>
    <w:uiPriority w:val="0"/>
    <w:rPr>
      <w:rFonts w:ascii="Arial" w:hAnsi="Arial" w:eastAsia="幼圆"/>
      <w:b/>
      <w:kern w:val="2"/>
      <w:sz w:val="44"/>
    </w:rPr>
  </w:style>
  <w:style w:type="paragraph" w:customStyle="1" w:styleId="109">
    <w:name w:val="Char"/>
    <w:basedOn w:val="1"/>
    <w:qFormat/>
    <w:uiPriority w:val="0"/>
    <w:pPr>
      <w:tabs>
        <w:tab w:val="left" w:pos="360"/>
      </w:tabs>
    </w:pPr>
    <w:rPr>
      <w:sz w:val="24"/>
    </w:rPr>
  </w:style>
  <w:style w:type="paragraph" w:customStyle="1" w:styleId="110">
    <w:name w:val=" Char Char Char Char1 Char Char"/>
    <w:basedOn w:val="1"/>
    <w:qFormat/>
    <w:uiPriority w:val="0"/>
    <w:pPr>
      <w:tabs>
        <w:tab w:val="left" w:pos="360"/>
      </w:tabs>
    </w:pPr>
    <w:rPr>
      <w:sz w:val="24"/>
    </w:rPr>
  </w:style>
  <w:style w:type="paragraph" w:customStyle="1" w:styleId="111">
    <w:name w:val="标书正文格式"/>
    <w:qFormat/>
    <w:uiPriority w:val="0"/>
    <w:pPr>
      <w:autoSpaceDE/>
      <w:autoSpaceDN/>
      <w:snapToGrid/>
      <w:spacing w:line="360" w:lineRule="auto"/>
      <w:ind w:firstLine="200" w:firstLineChars="200"/>
    </w:pPr>
    <w:rPr>
      <w:rFonts w:ascii="Calibri" w:hAnsi="Calibri" w:eastAsia="楷体_GB2312" w:cs="Calibri"/>
      <w:kern w:val="2"/>
      <w:sz w:val="24"/>
      <w:szCs w:val="24"/>
      <w:lang w:val="en-US" w:eastAsia="zh-CN" w:bidi="ar-SA"/>
    </w:rPr>
  </w:style>
  <w:style w:type="character" w:customStyle="1" w:styleId="112">
    <w:name w:val="标题 2 Char"/>
    <w:link w:val="11"/>
    <w:qFormat/>
    <w:uiPriority w:val="0"/>
    <w:rPr>
      <w:rFonts w:ascii="Cambria" w:hAnsi="Cambria"/>
      <w:b/>
      <w:bCs/>
      <w:kern w:val="2"/>
      <w:sz w:val="32"/>
      <w:szCs w:val="32"/>
    </w:rPr>
  </w:style>
  <w:style w:type="character" w:customStyle="1" w:styleId="113">
    <w:name w:val="批注文字 Char"/>
    <w:link w:val="18"/>
    <w:qFormat/>
    <w:uiPriority w:val="0"/>
    <w:rPr>
      <w:kern w:val="2"/>
      <w:sz w:val="21"/>
      <w:szCs w:val="24"/>
    </w:rPr>
  </w:style>
  <w:style w:type="paragraph" w:customStyle="1" w:styleId="114">
    <w:name w:val="Address"/>
    <w:basedOn w:val="1"/>
    <w:next w:val="1"/>
    <w:qFormat/>
    <w:uiPriority w:val="0"/>
    <w:pPr>
      <w:autoSpaceDE w:val="0"/>
      <w:autoSpaceDN w:val="0"/>
      <w:jc w:val="left"/>
    </w:pPr>
    <w:rPr>
      <w:i/>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11" textRotate="1"/>
    <customShpInfo spid="_x0000_s4097"/>
    <customShpInfo spid="_x0000_s4112"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18295</Words>
  <Characters>19220</Characters>
  <TotalTime>29</TotalTime>
  <ScaleCrop>false</ScaleCrop>
  <LinksUpToDate>false</LinksUpToDate>
  <CharactersWithSpaces>19910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2025-05-14T16:36:00Z</dcterms:created>
  <dc:creator>Administrator</dc:creator>
  <cp:lastModifiedBy>米饭</cp:lastModifiedBy>
  <dcterms:modified xsi:type="dcterms:W3CDTF">2025-05-14T09:28:15Z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eyJoZGlkIjoiMTI2M2MxNDU4YTMxMGUyMmY3ZDBiMWY0OTQwOGVkMDYiLCJ1c2VySWQiOiI0MDkxMTEwNTgifQ==</vt:lpwstr>
  </property>
  <property fmtid="{D5CDD505-2E9C-101B-9397-08002B2CF9AE}" pid="3" name="KSOProductBuildVer">
    <vt:lpwstr>2052-12.1.0.20784</vt:lpwstr>
  </property>
  <property fmtid="{D5CDD505-2E9C-101B-9397-08002B2CF9AE}" pid="4" name="ICV">
    <vt:lpwstr>08F0BDA25D7147CB8A8406AA77BC8B41_12</vt:lpwstr>
  </property>
</Properties>
</file>