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left" w:pos="1890"/>
        </w:tabs>
        <w:snapToGrid w:val="0"/>
        <w:spacing w:before="120" w:after="120" w:line="360" w:lineRule="auto"/>
        <w:jc w:val="right"/>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JSZCZC2024013</w:t>
      </w:r>
      <w:r>
        <w:rPr>
          <w:rFonts w:hint="eastAsia" w:ascii="宋体" w:hAnsi="宋体" w:eastAsia="宋体" w:cs="宋体"/>
          <w:b/>
          <w:bCs/>
          <w:color w:val="000000" w:themeColor="text1"/>
          <w:sz w:val="36"/>
          <w:szCs w:val="36"/>
          <w:highlight w:val="none"/>
          <w14:textFill>
            <w14:solidFill>
              <w14:schemeClr w14:val="tx1"/>
            </w14:solidFill>
          </w14:textFill>
        </w:rPr>
        <w:t>号</w:t>
      </w:r>
    </w:p>
    <w:p>
      <w:pPr>
        <w:jc w:val="right"/>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b/>
          <w:bCs/>
          <w:color w:val="000000" w:themeColor="text1"/>
          <w:sz w:val="36"/>
          <w:highlight w:val="none"/>
          <w14:textFill>
            <w14:solidFill>
              <w14:schemeClr w14:val="tx1"/>
            </w14:solidFill>
          </w14:textFill>
        </w:rPr>
      </w:pPr>
    </w:p>
    <w:p>
      <w:pPr>
        <w:jc w:val="center"/>
        <w:rPr>
          <w:rFonts w:hint="eastAsia" w:ascii="宋体" w:hAnsi="宋体" w:eastAsia="宋体" w:cs="宋体"/>
          <w:b/>
          <w:bCs/>
          <w:color w:val="000000" w:themeColor="text1"/>
          <w:sz w:val="36"/>
          <w:highlight w:val="none"/>
          <w14:textFill>
            <w14:solidFill>
              <w14:schemeClr w14:val="tx1"/>
            </w14:solidFill>
          </w14:textFill>
        </w:rPr>
      </w:pPr>
    </w:p>
    <w:p>
      <w:pPr>
        <w:jc w:val="center"/>
        <w:rPr>
          <w:rFonts w:hint="eastAsia" w:ascii="宋体" w:hAnsi="宋体" w:eastAsia="宋体" w:cs="宋体"/>
          <w:b/>
          <w:bCs/>
          <w:color w:val="000000" w:themeColor="text1"/>
          <w:sz w:val="36"/>
          <w:highlight w:val="none"/>
          <w14:textFill>
            <w14:solidFill>
              <w14:schemeClr w14:val="tx1"/>
            </w14:solidFill>
          </w14:textFill>
        </w:rPr>
      </w:pPr>
    </w:p>
    <w:p>
      <w:pPr>
        <w:jc w:val="center"/>
        <w:rPr>
          <w:rFonts w:hint="eastAsia" w:ascii="宋体" w:hAnsi="宋体" w:eastAsia="宋体" w:cs="宋体"/>
          <w:b/>
          <w:bCs/>
          <w:color w:val="000000" w:themeColor="text1"/>
          <w:sz w:val="36"/>
          <w:highlight w:val="none"/>
          <w14:textFill>
            <w14:solidFill>
              <w14:schemeClr w14:val="tx1"/>
            </w14:solidFill>
          </w14:textFill>
        </w:rPr>
      </w:pPr>
    </w:p>
    <w:p>
      <w:pPr>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GZ4</w:t>
      </w:r>
      <w:r>
        <w:rPr>
          <w:rFonts w:hint="eastAsia" w:ascii="宋体" w:hAnsi="宋体" w:eastAsia="宋体" w:cs="宋体"/>
          <w:b/>
          <w:bCs/>
          <w:color w:val="000000" w:themeColor="text1"/>
          <w:sz w:val="36"/>
          <w:highlight w:val="none"/>
          <w:lang w:val="en-US" w:eastAsia="zh-CN"/>
          <w14:textFill>
            <w14:solidFill>
              <w14:schemeClr w14:val="tx1"/>
            </w14:solidFill>
          </w14:textFill>
        </w:rPr>
        <w:t>5</w:t>
      </w:r>
      <w:r>
        <w:rPr>
          <w:rFonts w:hint="eastAsia" w:ascii="宋体" w:hAnsi="宋体" w:eastAsia="宋体" w:cs="宋体"/>
          <w:b/>
          <w:bCs/>
          <w:color w:val="000000" w:themeColor="text1"/>
          <w:sz w:val="36"/>
          <w:highlight w:val="none"/>
          <w14:textFill>
            <w14:solidFill>
              <w14:schemeClr w14:val="tx1"/>
            </w14:solidFill>
          </w14:textFill>
        </w:rPr>
        <w:t>8地块项目营销代理服务公开招标文件</w:t>
      </w: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jc w:val="center"/>
        <w:rPr>
          <w:rFonts w:hint="eastAsia" w:ascii="宋体" w:hAnsi="宋体" w:eastAsia="宋体" w:cs="宋体"/>
          <w:color w:val="000000" w:themeColor="text1"/>
          <w:sz w:val="36"/>
          <w:highlight w:val="none"/>
          <w14:textFill>
            <w14:solidFill>
              <w14:schemeClr w14:val="tx1"/>
            </w14:solidFill>
          </w14:textFill>
        </w:rPr>
      </w:pPr>
    </w:p>
    <w:p>
      <w:pPr>
        <w:pStyle w:val="29"/>
        <w:rPr>
          <w:rFonts w:hint="eastAsia" w:ascii="宋体" w:hAnsi="宋体" w:eastAsia="宋体" w:cs="宋体"/>
          <w:color w:val="000000" w:themeColor="text1"/>
          <w:sz w:val="36"/>
          <w:highlight w:val="none"/>
          <w14:textFill>
            <w14:solidFill>
              <w14:schemeClr w14:val="tx1"/>
            </w14:solidFill>
          </w14:textFill>
        </w:rPr>
      </w:pPr>
    </w:p>
    <w:p>
      <w:pPr>
        <w:pStyle w:val="29"/>
        <w:rPr>
          <w:rFonts w:hint="eastAsia" w:ascii="宋体" w:hAnsi="宋体" w:eastAsia="宋体" w:cs="宋体"/>
          <w:color w:val="000000" w:themeColor="text1"/>
          <w:sz w:val="36"/>
          <w:highlight w:val="none"/>
          <w14:textFill>
            <w14:solidFill>
              <w14:schemeClr w14:val="tx1"/>
            </w14:solidFill>
          </w14:textFill>
        </w:rPr>
      </w:pPr>
    </w:p>
    <w:p>
      <w:pPr>
        <w:pStyle w:val="29"/>
        <w:rPr>
          <w:rFonts w:hint="eastAsia" w:ascii="宋体" w:hAnsi="宋体" w:eastAsia="宋体" w:cs="宋体"/>
          <w:color w:val="000000" w:themeColor="text1"/>
          <w:sz w:val="36"/>
          <w:highlight w:val="none"/>
          <w14:textFill>
            <w14:solidFill>
              <w14:schemeClr w14:val="tx1"/>
            </w14:solidFill>
          </w14:textFill>
        </w:rPr>
      </w:pPr>
    </w:p>
    <w:p>
      <w:pPr>
        <w:pStyle w:val="2"/>
        <w:ind w:firstLine="420"/>
        <w:rPr>
          <w:rFonts w:hint="eastAsia" w:ascii="宋体" w:hAnsi="宋体" w:eastAsia="宋体" w:cs="宋体"/>
          <w:color w:val="000000" w:themeColor="text1"/>
          <w:highlight w:val="none"/>
          <w14:textFill>
            <w14:solidFill>
              <w14:schemeClr w14:val="tx1"/>
            </w14:solidFill>
          </w14:textFill>
        </w:rPr>
      </w:pPr>
    </w:p>
    <w:p>
      <w:pPr>
        <w:spacing w:line="360" w:lineRule="auto"/>
        <w:ind w:leftChars="400" w:firstLine="506" w:firstLineChars="200"/>
        <w:rPr>
          <w:rFonts w:hint="eastAsia" w:ascii="宋体" w:hAnsi="宋体" w:eastAsia="宋体" w:cs="宋体"/>
          <w:b/>
          <w:bCs/>
          <w:color w:val="000000" w:themeColor="text1"/>
          <w:w w:val="90"/>
          <w:kern w:val="0"/>
          <w:sz w:val="28"/>
          <w:szCs w:val="28"/>
          <w:highlight w:val="none"/>
          <w:shd w:val="clear" w:color="auto" w:fill="FFFF00"/>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采购人：扬州</w:t>
      </w:r>
      <w:r>
        <w:rPr>
          <w:rFonts w:hint="eastAsia" w:ascii="宋体" w:hAnsi="宋体" w:eastAsia="宋体" w:cs="宋体"/>
          <w:b/>
          <w:bCs/>
          <w:color w:val="000000" w:themeColor="text1"/>
          <w:w w:val="90"/>
          <w:kern w:val="0"/>
          <w:sz w:val="28"/>
          <w:szCs w:val="28"/>
          <w:highlight w:val="none"/>
          <w:lang w:val="en-US" w:eastAsia="zh-CN"/>
          <w14:textFill>
            <w14:solidFill>
              <w14:schemeClr w14:val="tx1"/>
            </w14:solidFill>
          </w14:textFill>
        </w:rPr>
        <w:t>锦佑</w:t>
      </w:r>
      <w:r>
        <w:rPr>
          <w:rFonts w:hint="eastAsia" w:ascii="宋体" w:hAnsi="宋体" w:eastAsia="宋体" w:cs="宋体"/>
          <w:b/>
          <w:bCs/>
          <w:color w:val="000000" w:themeColor="text1"/>
          <w:w w:val="90"/>
          <w:kern w:val="0"/>
          <w:sz w:val="28"/>
          <w:szCs w:val="28"/>
          <w:highlight w:val="none"/>
          <w14:textFill>
            <w14:solidFill>
              <w14:schemeClr w14:val="tx1"/>
            </w14:solidFill>
          </w14:textFill>
        </w:rPr>
        <w:t>置业有限公司</w:t>
      </w:r>
    </w:p>
    <w:p>
      <w:pPr>
        <w:spacing w:line="360" w:lineRule="auto"/>
        <w:ind w:leftChars="400" w:firstLine="506" w:firstLineChars="200"/>
        <w:rPr>
          <w:rFonts w:hint="eastAsia" w:ascii="宋体" w:hAnsi="宋体" w:eastAsia="宋体" w:cs="宋体"/>
          <w:b/>
          <w:bCs/>
          <w:color w:val="000000" w:themeColor="text1"/>
          <w:w w:val="90"/>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采购代理机构(章)：</w:t>
      </w:r>
      <w:r>
        <w:rPr>
          <w:rFonts w:hint="eastAsia" w:ascii="宋体" w:hAnsi="宋体" w:eastAsia="宋体" w:cs="宋体"/>
          <w:b/>
          <w:bCs/>
          <w:color w:val="000000" w:themeColor="text1"/>
          <w:w w:val="90"/>
          <w:kern w:val="0"/>
          <w:sz w:val="28"/>
          <w:szCs w:val="28"/>
          <w:highlight w:val="none"/>
          <w:lang w:val="en-US" w:eastAsia="zh-CN"/>
          <w14:textFill>
            <w14:solidFill>
              <w14:schemeClr w14:val="tx1"/>
            </w14:solidFill>
          </w14:textFill>
        </w:rPr>
        <w:t xml:space="preserve"> 江苏志诚工程咨询管理有限公司 </w:t>
      </w:r>
    </w:p>
    <w:p>
      <w:pPr>
        <w:spacing w:line="360" w:lineRule="auto"/>
        <w:ind w:leftChars="400" w:firstLine="506" w:firstLineChars="200"/>
        <w:rPr>
          <w:rFonts w:hint="eastAsia" w:ascii="宋体" w:hAnsi="宋体" w:eastAsia="宋体" w:cs="宋体"/>
          <w:b/>
          <w:bCs/>
          <w:color w:val="000000" w:themeColor="text1"/>
          <w:w w:val="90"/>
          <w:kern w:val="0"/>
          <w:sz w:val="28"/>
          <w:szCs w:val="28"/>
          <w:highlight w:val="none"/>
          <w14:textFill>
            <w14:solidFill>
              <w14:schemeClr w14:val="tx1"/>
            </w14:solidFill>
          </w14:textFill>
        </w:rPr>
      </w:pPr>
      <w:r>
        <w:rPr>
          <w:rFonts w:hint="eastAsia" w:ascii="宋体" w:hAnsi="宋体" w:eastAsia="宋体" w:cs="宋体"/>
          <w:b/>
          <w:bCs/>
          <w:color w:val="000000" w:themeColor="text1"/>
          <w:w w:val="90"/>
          <w:kern w:val="0"/>
          <w:sz w:val="28"/>
          <w:szCs w:val="28"/>
          <w:highlight w:val="none"/>
          <w14:textFill>
            <w14:solidFill>
              <w14:schemeClr w14:val="tx1"/>
            </w14:solidFill>
          </w14:textFill>
        </w:rPr>
        <w:t>发 放 日 期：</w:t>
      </w:r>
      <w:bookmarkStart w:id="0" w:name="EB59c3faf64f2a4bd092a206fb1d0c3c03"/>
      <w:r>
        <w:rPr>
          <w:rFonts w:hint="eastAsia" w:ascii="宋体" w:hAnsi="宋体" w:eastAsia="宋体" w:cs="宋体"/>
          <w:b/>
          <w:bCs/>
          <w:color w:val="000000" w:themeColor="text1"/>
          <w:w w:val="90"/>
          <w:kern w:val="0"/>
          <w:sz w:val="28"/>
          <w:szCs w:val="28"/>
          <w:highlight w:val="none"/>
          <w14:textFill>
            <w14:solidFill>
              <w14:schemeClr w14:val="tx1"/>
            </w14:solidFill>
          </w14:textFill>
        </w:rPr>
        <w:t xml:space="preserve"> </w:t>
      </w:r>
      <w:bookmarkEnd w:id="0"/>
      <w:r>
        <w:rPr>
          <w:rFonts w:hint="eastAsia" w:ascii="宋体" w:hAnsi="宋体" w:cs="宋体"/>
          <w:b/>
          <w:bCs/>
          <w:color w:val="000000" w:themeColor="text1"/>
          <w:w w:val="90"/>
          <w:kern w:val="0"/>
          <w:sz w:val="28"/>
          <w:szCs w:val="28"/>
          <w:highlight w:val="none"/>
          <w:lang w:eastAsia="zh-CN"/>
          <w14:textFill>
            <w14:solidFill>
              <w14:schemeClr w14:val="tx1"/>
            </w14:solidFill>
          </w14:textFill>
        </w:rPr>
        <w:t>202</w:t>
      </w:r>
      <w:r>
        <w:rPr>
          <w:rFonts w:hint="eastAsia" w:ascii="宋体" w:hAnsi="宋体" w:cs="宋体"/>
          <w:b/>
          <w:bCs/>
          <w:color w:val="000000" w:themeColor="text1"/>
          <w:w w:val="90"/>
          <w:kern w:val="0"/>
          <w:sz w:val="28"/>
          <w:szCs w:val="28"/>
          <w:highlight w:val="none"/>
          <w:lang w:val="en-US" w:eastAsia="zh-CN"/>
          <w14:textFill>
            <w14:solidFill>
              <w14:schemeClr w14:val="tx1"/>
            </w14:solidFill>
          </w14:textFill>
        </w:rPr>
        <w:t>4</w:t>
      </w:r>
      <w:r>
        <w:rPr>
          <w:rFonts w:hint="eastAsia" w:ascii="宋体" w:hAnsi="宋体" w:cs="宋体"/>
          <w:b/>
          <w:bCs/>
          <w:color w:val="000000" w:themeColor="text1"/>
          <w:w w:val="90"/>
          <w:kern w:val="0"/>
          <w:sz w:val="28"/>
          <w:szCs w:val="28"/>
          <w:highlight w:val="none"/>
          <w:lang w:eastAsia="zh-CN"/>
          <w14:textFill>
            <w14:solidFill>
              <w14:schemeClr w14:val="tx1"/>
            </w14:solidFill>
          </w14:textFill>
        </w:rPr>
        <w:t>年3月</w:t>
      </w:r>
      <w:r>
        <w:rPr>
          <w:rFonts w:hint="eastAsia" w:ascii="宋体" w:hAnsi="宋体" w:cs="宋体"/>
          <w:b/>
          <w:bCs/>
          <w:color w:val="000000" w:themeColor="text1"/>
          <w:w w:val="90"/>
          <w:kern w:val="0"/>
          <w:sz w:val="28"/>
          <w:szCs w:val="28"/>
          <w:highlight w:val="none"/>
          <w:lang w:val="en-US" w:eastAsia="zh-CN"/>
          <w14:textFill>
            <w14:solidFill>
              <w14:schemeClr w14:val="tx1"/>
            </w14:solidFill>
          </w14:textFill>
        </w:rPr>
        <w:t>18</w:t>
      </w:r>
      <w:r>
        <w:rPr>
          <w:rFonts w:hint="eastAsia" w:ascii="宋体" w:hAnsi="宋体" w:eastAsia="宋体" w:cs="宋体"/>
          <w:b/>
          <w:bCs/>
          <w:color w:val="000000" w:themeColor="text1"/>
          <w:w w:val="90"/>
          <w:kern w:val="0"/>
          <w:sz w:val="28"/>
          <w:szCs w:val="28"/>
          <w:highlight w:val="none"/>
          <w14:textFill>
            <w14:solidFill>
              <w14:schemeClr w14:val="tx1"/>
            </w14:solidFill>
          </w14:textFill>
        </w:rPr>
        <w:t>日</w:t>
      </w:r>
    </w:p>
    <w:p>
      <w:pPr>
        <w:spacing w:line="360" w:lineRule="auto"/>
        <w:jc w:val="center"/>
        <w:rPr>
          <w:rFonts w:hint="eastAsia" w:ascii="宋体" w:hAnsi="宋体" w:eastAsia="宋体" w:cs="宋体"/>
          <w:color w:val="000000" w:themeColor="text1"/>
          <w:sz w:val="32"/>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32"/>
          <w:highlight w:val="none"/>
          <w14:textFill>
            <w14:solidFill>
              <w14:schemeClr w14:val="tx1"/>
            </w14:solidFill>
          </w14:textFill>
        </w:rPr>
        <w:sectPr>
          <w:headerReference r:id="rId4" w:type="first"/>
          <w:headerReference r:id="rId3" w:type="default"/>
          <w:footerReference r:id="rId5" w:type="default"/>
          <w:pgSz w:w="11905" w:h="16838"/>
          <w:pgMar w:top="1440" w:right="1080" w:bottom="1440" w:left="1080" w:header="850" w:footer="850" w:gutter="0"/>
          <w:cols w:space="0" w:num="1"/>
          <w:docGrid w:type="lines" w:linePitch="317" w:charSpace="0"/>
        </w:sectPr>
      </w:pPr>
    </w:p>
    <w:sdt>
      <w:sdtPr>
        <w:rPr>
          <w:rFonts w:hint="eastAsia" w:ascii="宋体" w:hAnsi="宋体" w:eastAsia="宋体" w:cs="宋体"/>
          <w:color w:val="000000" w:themeColor="text1"/>
          <w:highlight w:val="none"/>
          <w14:textFill>
            <w14:solidFill>
              <w14:schemeClr w14:val="tx1"/>
            </w14:solidFill>
          </w14:textFill>
        </w:rPr>
        <w:id w:val="147451205"/>
        <w:docPartObj>
          <w:docPartGallery w:val="Table of Contents"/>
          <w:docPartUnique/>
        </w:docPartObj>
      </w:sdtPr>
      <w:sdtEndPr>
        <w:rPr>
          <w:rFonts w:hint="eastAsia" w:ascii="宋体" w:hAnsi="宋体" w:eastAsia="宋体" w:cs="宋体"/>
          <w:color w:val="000000" w:themeColor="text1"/>
          <w:highlight w:val="none"/>
          <w14:textFill>
            <w14:solidFill>
              <w14:schemeClr w14:val="tx1"/>
            </w14:solidFill>
          </w14:textFill>
        </w:rPr>
      </w:sdtEndPr>
      <w:sdtContent>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
              <w:bCs/>
              <w:color w:val="000000" w:themeColor="text1"/>
              <w:sz w:val="32"/>
              <w:szCs w:val="36"/>
              <w:highlight w:val="none"/>
              <w14:textFill>
                <w14:solidFill>
                  <w14:schemeClr w14:val="tx1"/>
                </w14:solidFill>
              </w14:textFill>
            </w:rPr>
          </w:pPr>
          <w:r>
            <w:rPr>
              <w:rFonts w:hint="eastAsia" w:ascii="宋体" w:hAnsi="宋体" w:eastAsia="宋体" w:cs="宋体"/>
              <w:b/>
              <w:bCs/>
              <w:color w:val="000000" w:themeColor="text1"/>
              <w:sz w:val="32"/>
              <w:szCs w:val="36"/>
              <w:highlight w:val="none"/>
              <w14:textFill>
                <w14:solidFill>
                  <w14:schemeClr w14:val="tx1"/>
                </w14:solidFill>
              </w14:textFill>
            </w:rPr>
            <w:t>目录</w:t>
          </w:r>
        </w:p>
        <w:p>
          <w:pPr>
            <w:pStyle w:val="34"/>
            <w:tabs>
              <w:tab w:val="right" w:leader="dot" w:pos="8299"/>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fldChar w:fldCharType="begin"/>
          </w:r>
          <w:r>
            <w:rPr>
              <w:rFonts w:hint="eastAsia" w:ascii="宋体" w:hAnsi="宋体" w:eastAsia="宋体" w:cs="宋体"/>
              <w:color w:val="000000" w:themeColor="text1"/>
              <w:sz w:val="32"/>
              <w:highlight w:val="none"/>
              <w14:textFill>
                <w14:solidFill>
                  <w14:schemeClr w14:val="tx1"/>
                </w14:solidFill>
              </w14:textFill>
            </w:rPr>
            <w:instrText xml:space="preserve">TOC \o "1-3" \h \u </w:instrText>
          </w:r>
          <w:r>
            <w:rPr>
              <w:rFonts w:hint="eastAsia" w:ascii="宋体" w:hAnsi="宋体" w:eastAsia="宋体" w:cs="宋体"/>
              <w:color w:val="000000" w:themeColor="text1"/>
              <w:sz w:val="32"/>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"_Toc28031"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_Toc28031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34"/>
            <w:tabs>
              <w:tab w:val="right" w:leader="dot" w:pos="8299"/>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"_Toc9708"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34"/>
            <w:tabs>
              <w:tab w:val="right" w:leader="dot" w:pos="8299"/>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"_Toc14487"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合同条款及格式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_Toc14487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34"/>
            <w:tabs>
              <w:tab w:val="right" w:leader="dot" w:pos="8299"/>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"_Toc7342"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项目需求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_Toc7342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34"/>
            <w:tabs>
              <w:tab w:val="right" w:leader="dot" w:pos="8299"/>
            </w:tabs>
            <w:spacing w:line="480" w:lineRule="auto"/>
            <w:ind w:left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"_Toc27735"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评标方法及评标标准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_Toc27735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34"/>
            <w:tabs>
              <w:tab w:val="right" w:leader="dot" w:pos="8299"/>
            </w:tabs>
            <w:spacing w:line="480" w:lineRule="auto"/>
            <w:ind w:left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"_Toc22787"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_Toc22787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360" w:lineRule="auto"/>
            <w:jc w:val="center"/>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10"/>
        <w:spacing w:line="360" w:lineRule="auto"/>
        <w:jc w:val="center"/>
        <w:rPr>
          <w:rFonts w:hint="eastAsia" w:ascii="宋体" w:hAnsi="宋体" w:eastAsia="宋体" w:cs="宋体"/>
          <w:color w:val="000000" w:themeColor="text1"/>
          <w:sz w:val="36"/>
          <w:highlight w:val="none"/>
          <w14:textFill>
            <w14:solidFill>
              <w14:schemeClr w14:val="tx1"/>
            </w14:solidFill>
          </w14:textFill>
        </w:rPr>
        <w:sectPr>
          <w:footerReference r:id="rId6" w:type="default"/>
          <w:pgSz w:w="11905" w:h="16838"/>
          <w:pgMar w:top="1440" w:right="1080" w:bottom="1440" w:left="1080" w:header="850" w:footer="850" w:gutter="0"/>
          <w:cols w:space="0" w:num="1"/>
          <w:docGrid w:type="lines" w:linePitch="317" w:charSpace="0"/>
        </w:sectPr>
      </w:pPr>
      <w:bookmarkStart w:id="1" w:name="_Toc32420"/>
      <w:bookmarkStart w:id="2" w:name="_Toc28031"/>
      <w:bookmarkStart w:id="3" w:name="OLE_LINK1"/>
    </w:p>
    <w:p>
      <w:pPr>
        <w:pStyle w:val="1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第一章 招标公告</w:t>
      </w:r>
      <w:bookmarkEnd w:id="1"/>
      <w:bookmarkEnd w:id="2"/>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GZ4</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8地块项目营销代理服务</w:t>
      </w:r>
      <w:r>
        <w:rPr>
          <w:rFonts w:hint="eastAsia" w:ascii="宋体" w:hAnsi="宋体" w:eastAsia="宋体" w:cs="宋体"/>
          <w:color w:val="000000" w:themeColor="text1"/>
          <w:szCs w:val="21"/>
          <w:highlight w:val="none"/>
          <w14:textFill>
            <w14:solidFill>
              <w14:schemeClr w14:val="tx1"/>
            </w14:solidFill>
          </w14:textFill>
        </w:rPr>
        <w:t>招标项目的潜在投标人应在</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lang w:eastAsia="zh-CN"/>
          <w14:textFill>
            <w14:solidFill>
              <w14:schemeClr w14:val="tx1"/>
            </w14:solidFill>
          </w14:textFill>
        </w:rPr>
        <w:t>扬州维扬发展投资有限公司网站、江苏省招标投标公共服务平台</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获取招标文件，并于</w:t>
      </w:r>
      <w:bookmarkStart w:id="133" w:name="_GoBack"/>
      <w:bookmarkEnd w:id="133"/>
      <w:r>
        <w:rPr>
          <w:rFonts w:hint="eastAsia" w:ascii="宋体" w:hAnsi="宋体" w:cs="宋体"/>
          <w:color w:val="000000" w:themeColor="text1"/>
          <w:szCs w:val="21"/>
          <w:highlight w:val="none"/>
          <w:u w:val="single"/>
          <w:lang w:eastAsia="zh-CN"/>
          <w14:textFill>
            <w14:solidFill>
              <w14:schemeClr w14:val="tx1"/>
            </w14:solidFill>
          </w14:textFill>
        </w:rPr>
        <w:t>2024年04月09日09点30分</w:t>
      </w:r>
      <w:r>
        <w:rPr>
          <w:rFonts w:hint="eastAsia" w:ascii="宋体" w:hAnsi="宋体" w:eastAsia="宋体" w:cs="宋体"/>
          <w:bCs/>
          <w:color w:val="000000" w:themeColor="text1"/>
          <w:szCs w:val="2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北京时间）前递交投标文件</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4" w:name="_Toc28359002"/>
      <w:bookmarkStart w:id="5" w:name="_Toc28359079"/>
      <w:bookmarkStart w:id="6" w:name="_Toc35393621"/>
      <w:bookmarkStart w:id="7" w:name="_Toc35393790"/>
      <w:bookmarkStart w:id="8" w:name="_Hlk24379207"/>
      <w:r>
        <w:rPr>
          <w:rFonts w:hint="eastAsia" w:ascii="宋体" w:hAnsi="宋体" w:eastAsia="宋体" w:cs="宋体"/>
          <w:color w:val="000000" w:themeColor="text1"/>
          <w:szCs w:val="21"/>
          <w:highlight w:val="none"/>
          <w14:textFill>
            <w14:solidFill>
              <w14:schemeClr w14:val="tx1"/>
            </w14:solidFill>
          </w14:textFill>
        </w:rPr>
        <w:t>一、项目基本情况</w:t>
      </w:r>
      <w:bookmarkEnd w:id="4"/>
      <w:bookmarkEnd w:id="5"/>
      <w:bookmarkEnd w:id="6"/>
      <w:bookmarkEnd w:id="7"/>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lang w:eastAsia="zh-CN"/>
          <w14:textFill>
            <w14:solidFill>
              <w14:schemeClr w14:val="tx1"/>
            </w14:solidFill>
          </w14:textFill>
        </w:rPr>
        <w:t>JSZCZC2024013</w:t>
      </w:r>
      <w:r>
        <w:rPr>
          <w:rFonts w:hint="eastAsia" w:ascii="宋体" w:hAnsi="宋体" w:eastAsia="宋体" w:cs="宋体"/>
          <w:color w:val="000000" w:themeColor="text1"/>
          <w:szCs w:val="21"/>
          <w:highlight w:val="none"/>
          <w14:textFill>
            <w14:solidFill>
              <w14:schemeClr w14:val="tx1"/>
            </w14:solidFill>
          </w14:textFill>
        </w:rPr>
        <w:t>号</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bookmarkEnd w:id="8"/>
      <w:r>
        <w:rPr>
          <w:rFonts w:hint="eastAsia" w:ascii="宋体" w:hAnsi="宋体" w:eastAsia="宋体" w:cs="宋体"/>
          <w:color w:val="000000" w:themeColor="text1"/>
          <w:szCs w:val="21"/>
          <w:highlight w:val="none"/>
          <w14:textFill>
            <w14:solidFill>
              <w14:schemeClr w14:val="tx1"/>
            </w14:solidFill>
          </w14:textFill>
        </w:rPr>
        <w:t>GZ4</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8地块项目营销代理服务</w:t>
      </w:r>
    </w:p>
    <w:p>
      <w:pPr>
        <w:spacing w:line="360" w:lineRule="auto"/>
        <w:ind w:firstLine="420" w:firstLineChars="200"/>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预算金额：</w:t>
      </w:r>
      <w:r>
        <w:rPr>
          <w:rFonts w:hint="eastAsia" w:ascii="宋体" w:hAnsi="宋体" w:eastAsia="宋体" w:cs="宋体"/>
          <w:color w:val="000000" w:themeColor="text1"/>
          <w:spacing w:val="2"/>
          <w:szCs w:val="21"/>
          <w:highlight w:val="none"/>
          <w14:textFill>
            <w14:solidFill>
              <w14:schemeClr w14:val="tx1"/>
            </w14:solidFill>
          </w14:textFill>
        </w:rPr>
        <w:t>按销售回款额的1.</w:t>
      </w:r>
      <w:r>
        <w:rPr>
          <w:rFonts w:hint="eastAsia" w:ascii="宋体" w:hAnsi="宋体" w:cs="宋体"/>
          <w:color w:val="000000" w:themeColor="text1"/>
          <w:spacing w:val="2"/>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szCs w:val="21"/>
          <w:highlight w:val="none"/>
          <w14:textFill>
            <w14:solidFill>
              <w14:schemeClr w14:val="tx1"/>
            </w14:solidFill>
          </w14:textFill>
        </w:rPr>
        <w:t>%（合同另有约定的除外）</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最高投标限价：</w:t>
      </w:r>
      <w:r>
        <w:rPr>
          <w:rFonts w:hint="eastAsia" w:ascii="宋体" w:hAnsi="宋体" w:eastAsia="宋体" w:cs="宋体"/>
          <w:color w:val="000000" w:themeColor="text1"/>
          <w:spacing w:val="2"/>
          <w:szCs w:val="21"/>
          <w:highlight w:val="none"/>
          <w14:textFill>
            <w14:solidFill>
              <w14:schemeClr w14:val="tx1"/>
            </w14:solidFill>
          </w14:textFill>
        </w:rPr>
        <w:t>按销售回款额的1.</w:t>
      </w:r>
      <w:r>
        <w:rPr>
          <w:rFonts w:hint="eastAsia" w:ascii="宋体" w:hAnsi="宋体" w:cs="宋体"/>
          <w:color w:val="000000" w:themeColor="text1"/>
          <w:spacing w:val="2"/>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szCs w:val="21"/>
          <w:highlight w:val="none"/>
          <w14:textFill>
            <w14:solidFill>
              <w14:schemeClr w14:val="tx1"/>
            </w14:solidFill>
          </w14:textFill>
        </w:rPr>
        <w:t>%（费率）</w:t>
      </w:r>
      <w:r>
        <w:rPr>
          <w:rFonts w:hint="eastAsia" w:ascii="宋体" w:hAnsi="宋体" w:eastAsia="宋体" w:cs="宋体"/>
          <w:color w:val="000000" w:themeColor="text1"/>
          <w:szCs w:val="21"/>
          <w:highlight w:val="none"/>
          <w14:textFill>
            <w14:solidFill>
              <w14:schemeClr w14:val="tx1"/>
            </w14:solidFill>
          </w14:textFill>
        </w:rPr>
        <w:t>，报价超过最高限价的为无效报价，按照无效响应处理。</w:t>
      </w:r>
    </w:p>
    <w:p>
      <w:pPr>
        <w:spacing w:line="360" w:lineRule="auto"/>
        <w:ind w:firstLine="420" w:firstLineChars="200"/>
        <w:rPr>
          <w:rFonts w:hint="eastAsia" w:ascii="宋体" w:hAnsi="宋体" w:eastAsia="宋体" w:cs="宋体"/>
          <w:color w:val="000000" w:themeColor="text1"/>
          <w:szCs w:val="21"/>
          <w:highlight w:val="none"/>
          <w:u w:val="single"/>
          <w:shd w:val="clear" w:color="auto" w:fill="FFC000"/>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采购需求：见招标文件第四章</w:t>
      </w:r>
    </w:p>
    <w:p>
      <w:pPr>
        <w:spacing w:line="360" w:lineRule="auto"/>
        <w:ind w:firstLine="420" w:firstLineChars="200"/>
        <w:rPr>
          <w:rFonts w:hint="eastAsia" w:ascii="宋体" w:hAnsi="宋体" w:eastAsia="宋体" w:cs="宋体"/>
          <w:color w:val="000000" w:themeColor="text1"/>
          <w:szCs w:val="21"/>
          <w:highlight w:val="none"/>
          <w:u w:val="single"/>
          <w:shd w:val="clear" w:color="auto" w:fill="FFC000"/>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合同履行期限：详见招标文件第四章</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本项目不接受联合体投标。</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9" w:name="_Toc35393622"/>
      <w:bookmarkStart w:id="10" w:name="_Toc28359003"/>
      <w:bookmarkStart w:id="11" w:name="_Toc28359080"/>
      <w:bookmarkStart w:id="12" w:name="_Toc35393791"/>
      <w:r>
        <w:rPr>
          <w:rFonts w:hint="eastAsia" w:ascii="宋体" w:hAnsi="宋体" w:eastAsia="宋体" w:cs="宋体"/>
          <w:color w:val="000000" w:themeColor="text1"/>
          <w:szCs w:val="21"/>
          <w:highlight w:val="none"/>
          <w14:textFill>
            <w14:solidFill>
              <w14:schemeClr w14:val="tx1"/>
            </w14:solidFill>
          </w14:textFill>
        </w:rPr>
        <w:t>二、申请人的资格要求：</w:t>
      </w:r>
      <w:bookmarkEnd w:id="9"/>
      <w:bookmarkEnd w:id="10"/>
      <w:bookmarkEnd w:id="11"/>
      <w:bookmarkEnd w:id="12"/>
    </w:p>
    <w:p>
      <w:pPr>
        <w:spacing w:line="360" w:lineRule="auto"/>
        <w:ind w:firstLine="420" w:firstLineChars="200"/>
        <w:rPr>
          <w:rFonts w:hint="eastAsia" w:ascii="宋体" w:hAnsi="宋体" w:eastAsia="宋体" w:cs="宋体"/>
          <w:szCs w:val="21"/>
          <w:highlight w:val="none"/>
          <w:lang w:eastAsia="zh-CN"/>
        </w:rPr>
      </w:pPr>
      <w:bookmarkStart w:id="13" w:name="_Toc28359004"/>
      <w:bookmarkStart w:id="14" w:name="_Toc35393623"/>
      <w:bookmarkStart w:id="15" w:name="_Toc35393792"/>
      <w:bookmarkStart w:id="16" w:name="_Toc28359081"/>
      <w:r>
        <w:rPr>
          <w:rFonts w:hint="eastAsia" w:ascii="宋体" w:hAnsi="宋体" w:eastAsia="宋体" w:cs="宋体"/>
          <w:szCs w:val="21"/>
          <w:highlight w:val="none"/>
        </w:rPr>
        <w:t>1.</w:t>
      </w:r>
      <w:r>
        <w:rPr>
          <w:rFonts w:hint="eastAsia" w:ascii="宋体" w:hAnsi="宋体" w:cs="宋体"/>
          <w:kern w:val="0"/>
          <w:szCs w:val="21"/>
          <w:highlight w:val="none"/>
        </w:rPr>
        <w:t>满足以下规定，并提供下列材料</w:t>
      </w:r>
      <w:r>
        <w:rPr>
          <w:rFonts w:hint="eastAsia" w:ascii="宋体" w:hAnsi="宋体" w:cs="宋体"/>
          <w:kern w:val="0"/>
          <w:szCs w:val="21"/>
          <w:highlight w:val="none"/>
          <w:lang w:eastAsia="zh-CN"/>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1.1投标函</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1.2资格声明</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1.3若法定代表人参加投标的，须提供本人身份证</w:t>
      </w:r>
      <w:r>
        <w:rPr>
          <w:rFonts w:hint="eastAsia" w:ascii="宋体" w:hAnsi="宋体" w:eastAsia="宋体" w:cs="宋体"/>
          <w:b/>
          <w:bCs/>
          <w:i/>
          <w:iCs/>
          <w:color w:val="000000" w:themeColor="text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Cs w:val="21"/>
          <w:highlight w:val="none"/>
          <w:u w:val="single"/>
          <w14:textFill>
            <w14:solidFill>
              <w14:schemeClr w14:val="tx1"/>
            </w14:solidFill>
          </w14:textFill>
        </w:rPr>
        <w:t>；若授权代表参加的，须提供《法人授权书》</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和授权代表身份证</w:t>
      </w:r>
      <w:r>
        <w:rPr>
          <w:rFonts w:hint="eastAsia" w:ascii="宋体" w:hAnsi="宋体" w:eastAsia="宋体" w:cs="宋体"/>
          <w:b/>
          <w:bCs/>
          <w:i/>
          <w:iCs/>
          <w:color w:val="000000" w:themeColor="text1"/>
          <w:szCs w:val="21"/>
          <w:highlight w:val="none"/>
          <w:u w:val="single"/>
          <w14:textFill>
            <w14:solidFill>
              <w14:schemeClr w14:val="tx1"/>
            </w14:solidFill>
          </w14:textFill>
        </w:rPr>
        <w:t>复印件（原件备查）</w:t>
      </w:r>
      <w:r>
        <w:rPr>
          <w:rFonts w:hint="eastAsia" w:ascii="宋体" w:hAnsi="宋体" w:eastAsia="宋体" w:cs="宋体"/>
          <w:i/>
          <w:iCs/>
          <w:color w:val="000000" w:themeColor="text1"/>
          <w:szCs w:val="21"/>
          <w:highlight w:val="none"/>
          <w:u w:val="single"/>
          <w14:textFill>
            <w14:solidFill>
              <w14:schemeClr w14:val="tx1"/>
            </w14:solidFill>
          </w14:textFill>
        </w:rPr>
        <w:t>；</w:t>
      </w:r>
      <w:r>
        <w:rPr>
          <w:rFonts w:hint="eastAsia" w:ascii="宋体" w:hAnsi="宋体" w:cs="宋体"/>
          <w:i/>
          <w:kern w:val="0"/>
          <w:szCs w:val="21"/>
          <w:highlight w:val="none"/>
          <w:u w:val="single"/>
        </w:rPr>
        <w:t>供应商为本项目授权委托人缴纳的</w:t>
      </w:r>
      <w:r>
        <w:rPr>
          <w:rFonts w:hint="eastAsia" w:ascii="宋体" w:hAnsi="宋体" w:cs="宋体"/>
          <w:b/>
          <w:bCs/>
          <w:i/>
          <w:kern w:val="0"/>
          <w:szCs w:val="21"/>
          <w:highlight w:val="none"/>
          <w:u w:val="single"/>
          <w:lang w:eastAsia="zh-CN"/>
        </w:rPr>
        <w:t>2023年12月-2024年2月</w:t>
      </w:r>
      <w:r>
        <w:rPr>
          <w:rFonts w:hint="eastAsia" w:ascii="宋体" w:hAnsi="宋体" w:cs="宋体"/>
          <w:i/>
          <w:kern w:val="0"/>
          <w:szCs w:val="21"/>
          <w:highlight w:val="none"/>
          <w:u w:val="single"/>
        </w:rPr>
        <w:t>任意一个月的社保证明</w:t>
      </w:r>
      <w:r>
        <w:rPr>
          <w:rFonts w:hint="eastAsia" w:ascii="宋体" w:hAnsi="宋体" w:cs="宋体"/>
          <w:b/>
          <w:bCs/>
          <w:i/>
          <w:kern w:val="0"/>
          <w:szCs w:val="21"/>
          <w:highlight w:val="none"/>
          <w:u w:val="single"/>
        </w:rPr>
        <w:t>(复印件加盖供应商公章)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1.4营业执照副本</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1.5依法缴纳职工社会保障资金的证明材料</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(税务、银行或社会保险基金管理部门出具的</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任意</w:t>
      </w:r>
      <w:r>
        <w:rPr>
          <w:rFonts w:hint="eastAsia" w:ascii="宋体" w:hAnsi="宋体" w:cs="宋体"/>
          <w:i/>
          <w:kern w:val="0"/>
          <w:szCs w:val="21"/>
          <w:highlight w:val="none"/>
          <w:u w:val="single"/>
        </w:rPr>
        <w:t>一个月</w:t>
      </w:r>
      <w:r>
        <w:rPr>
          <w:rFonts w:hint="eastAsia" w:ascii="宋体" w:hAnsi="宋体" w:eastAsia="宋体" w:cs="宋体"/>
          <w:i/>
          <w:iCs/>
          <w:color w:val="000000" w:themeColor="text1"/>
          <w:szCs w:val="21"/>
          <w:highlight w:val="none"/>
          <w:u w:val="single"/>
          <w14:textFill>
            <w14:solidFill>
              <w14:schemeClr w14:val="tx1"/>
            </w14:solidFill>
          </w14:textFill>
        </w:rPr>
        <w:t>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1.6供应商</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任意</w:t>
      </w:r>
      <w:r>
        <w:rPr>
          <w:rFonts w:hint="eastAsia" w:ascii="宋体" w:hAnsi="宋体" w:cs="宋体"/>
          <w:i/>
          <w:kern w:val="0"/>
          <w:szCs w:val="21"/>
          <w:highlight w:val="none"/>
          <w:u w:val="single"/>
        </w:rPr>
        <w:t>一个月</w:t>
      </w:r>
      <w:r>
        <w:rPr>
          <w:rFonts w:hint="eastAsia" w:ascii="宋体" w:hAnsi="宋体" w:eastAsia="宋体" w:cs="宋体"/>
          <w:i/>
          <w:iCs/>
          <w:color w:val="000000" w:themeColor="text1"/>
          <w:szCs w:val="21"/>
          <w:highlight w:val="none"/>
          <w:u w:val="single"/>
          <w14:textFill>
            <w14:solidFill>
              <w14:schemeClr w14:val="tx1"/>
            </w14:solidFill>
          </w14:textFill>
        </w:rPr>
        <w:t>依法纳税的缴款凭证</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(复印件加盖投标人公章)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1.7与第（6）条相对应的纳税申报表或经会计师事务所审计的2022年度</w:t>
      </w:r>
      <w:r>
        <w:rPr>
          <w:rFonts w:hint="eastAsia" w:ascii="宋体" w:hAnsi="宋体" w:cs="宋体"/>
          <w:i/>
          <w:iCs/>
          <w:color w:val="000000" w:themeColor="text1"/>
          <w:szCs w:val="21"/>
          <w:highlight w:val="none"/>
          <w:u w:val="single"/>
          <w:lang w:val="en-US" w:eastAsia="zh-CN"/>
          <w14:textFill>
            <w14:solidFill>
              <w14:schemeClr w14:val="tx1"/>
            </w14:solidFill>
          </w14:textFill>
        </w:rPr>
        <w:t>或2023年度</w:t>
      </w:r>
      <w:r>
        <w:rPr>
          <w:rFonts w:hint="eastAsia" w:ascii="宋体" w:hAnsi="宋体" w:eastAsia="宋体" w:cs="宋体"/>
          <w:i/>
          <w:iCs/>
          <w:color w:val="000000" w:themeColor="text1"/>
          <w:szCs w:val="21"/>
          <w:highlight w:val="none"/>
          <w:u w:val="single"/>
          <w14:textFill>
            <w14:solidFill>
              <w14:schemeClr w14:val="tx1"/>
            </w14:solidFill>
          </w14:textFill>
        </w:rPr>
        <w:t>财务报告</w:t>
      </w:r>
      <w:r>
        <w:rPr>
          <w:rFonts w:hint="eastAsia" w:ascii="宋体" w:hAnsi="宋体" w:eastAsia="宋体" w:cs="宋体"/>
          <w:b/>
          <w:bCs/>
          <w:i/>
          <w:iCs/>
          <w:color w:val="000000" w:themeColor="text1"/>
          <w:szCs w:val="21"/>
          <w:highlight w:val="none"/>
          <w:u w:val="single"/>
          <w14:textFill>
            <w14:solidFill>
              <w14:schemeClr w14:val="tx1"/>
            </w14:solidFill>
          </w14:textFill>
        </w:rPr>
        <w:t>(复印件加盖供应商公章)</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1.8供应商参加本次政府采购活动前3年内在经营活动中没有重大违法记录的书面声明</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1.9供应商信用承诺书</w:t>
      </w:r>
      <w:r>
        <w:rPr>
          <w:rFonts w:hint="eastAsia" w:ascii="宋体" w:hAnsi="宋体" w:eastAsia="宋体" w:cs="宋体"/>
          <w:b/>
          <w:bCs/>
          <w:i/>
          <w:iCs/>
          <w:color w:val="000000" w:themeColor="text1"/>
          <w:szCs w:val="21"/>
          <w:highlight w:val="none"/>
          <w:u w:val="single"/>
          <w14:textFill>
            <w14:solidFill>
              <w14:schemeClr w14:val="tx1"/>
            </w14:solidFill>
          </w14:textFill>
        </w:rPr>
        <w:t>（原件）</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1.10供应商</w:t>
      </w:r>
      <w:r>
        <w:rPr>
          <w:rFonts w:ascii="宋体" w:hAnsi="宋体"/>
          <w:i/>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highlight w:val="none"/>
          <w:u w:val="single"/>
          <w:lang w:val="en"/>
        </w:rPr>
        <w:t>（提供网页查询截图并加盖供应商公章，查询时间为自公告发布至开标截止时间前任意时间）</w:t>
      </w:r>
      <w:r>
        <w:rPr>
          <w:rFonts w:hint="eastAsia" w:ascii="宋体" w:hAnsi="宋体" w:eastAsia="宋体" w:cs="宋体"/>
          <w:i/>
          <w:iCs/>
          <w:color w:val="000000" w:themeColor="text1"/>
          <w:szCs w:val="21"/>
          <w:highlight w:val="none"/>
          <w:u w:val="single"/>
          <w14:textFill>
            <w14:solidFill>
              <w14:schemeClr w14:val="tx1"/>
            </w14:solidFill>
          </w14:textFill>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pPr>
        <w:adjustRightInd w:val="0"/>
        <w:snapToGrid w:val="0"/>
        <w:spacing w:line="360" w:lineRule="auto"/>
        <w:ind w:firstLine="420" w:firstLineChars="200"/>
        <w:rPr>
          <w:rFonts w:hint="eastAsia" w:ascii="宋体" w:hAnsi="宋体" w:eastAsia="宋体" w:cs="宋体"/>
          <w:i/>
          <w:iCs/>
          <w:color w:val="000000" w:themeColor="text1"/>
          <w:szCs w:val="21"/>
          <w:highlight w:val="none"/>
          <w:u w:val="single"/>
          <w:lang w:eastAsia="zh-CN"/>
          <w14:textFill>
            <w14:solidFill>
              <w14:schemeClr w14:val="tx1"/>
            </w14:solidFill>
          </w14:textFill>
        </w:rPr>
      </w:pPr>
      <w:r>
        <w:rPr>
          <w:rFonts w:hint="eastAsia" w:ascii="宋体" w:hAnsi="宋体" w:eastAsia="宋体" w:cs="宋体"/>
          <w:szCs w:val="21"/>
          <w:highlight w:val="none"/>
        </w:rPr>
        <w:t>3.本项目的特定资格要求：</w:t>
      </w:r>
      <w:r>
        <w:rPr>
          <w:rFonts w:hint="eastAsia" w:ascii="宋体" w:hAnsi="宋体" w:cs="宋体"/>
          <w:i/>
          <w:kern w:val="0"/>
          <w:szCs w:val="21"/>
          <w:highlight w:val="none"/>
          <w:u w:val="single"/>
          <w:lang w:val="en-US" w:eastAsia="zh-CN"/>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三、获取招标文件</w:t>
      </w:r>
      <w:bookmarkEnd w:id="13"/>
      <w:bookmarkEnd w:id="14"/>
      <w:bookmarkEnd w:id="15"/>
      <w:bookmarkEnd w:id="16"/>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7" w:name="_Toc28359005"/>
      <w:bookmarkStart w:id="18" w:name="_Toc28359082"/>
      <w:bookmarkStart w:id="19" w:name="_Toc35393793"/>
      <w:bookmarkStart w:id="20" w:name="_Toc35393624"/>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eastAsia="zh-CN"/>
          <w14:textFill>
            <w14:solidFill>
              <w14:schemeClr w14:val="tx1"/>
            </w14:solidFill>
          </w14:textFill>
        </w:rPr>
        <w:t>3月</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日至</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eastAsia="zh-CN"/>
          <w14:textFill>
            <w14:solidFill>
              <w14:schemeClr w14:val="tx1"/>
            </w14:solidFill>
          </w14:textFill>
        </w:rPr>
        <w:t>3月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日（北京时间，法定节假日除外）；</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扬州维扬发展投资有限公司网站、江苏省招标投标公共服务平台</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方式：投标供应商如确定参加投标，请在</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eastAsia="zh-CN"/>
          <w14:textFill>
            <w14:solidFill>
              <w14:schemeClr w14:val="tx1"/>
            </w14:solidFill>
          </w14:textFill>
        </w:rPr>
        <w:t>3月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日17：30前如实填写《供应商参加投标确认函》，并</w:t>
      </w:r>
      <w:r>
        <w:rPr>
          <w:rFonts w:hint="eastAsia" w:ascii="宋体" w:hAnsi="宋体" w:eastAsia="宋体" w:cs="宋体"/>
          <w:color w:val="000000" w:themeColor="text1"/>
          <w:kern w:val="0"/>
          <w:szCs w:val="21"/>
          <w:highlight w:val="none"/>
          <w14:textFill>
            <w14:solidFill>
              <w14:schemeClr w14:val="tx1"/>
            </w14:solidFill>
          </w14:textFill>
        </w:rPr>
        <w:t>将加盖投标人公章的《供应商参加投标确认函》的图片或扫描件发送至采购代理机构经办人</w:t>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"mailto:1274847791@qq.com"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0"/>
          <w:rFonts w:hint="eastAsia" w:ascii="宋体" w:hAnsi="宋体" w:cs="宋体"/>
          <w:color w:val="000000" w:themeColor="text1"/>
          <w:kern w:val="0"/>
          <w:highlight w:val="none"/>
          <w:lang w:eastAsia="zh-CN"/>
          <w14:textFill>
            <w14:solidFill>
              <w14:schemeClr w14:val="tx1"/>
            </w14:solidFill>
          </w14:textFill>
        </w:rPr>
        <w:t>785419524</w:t>
      </w:r>
      <w:r>
        <w:rPr>
          <w:rStyle w:val="50"/>
          <w:rFonts w:hint="eastAsia" w:ascii="宋体" w:hAnsi="宋体" w:eastAsia="宋体" w:cs="宋体"/>
          <w:color w:val="000000" w:themeColor="text1"/>
          <w:kern w:val="0"/>
          <w:highlight w:val="none"/>
          <w14:textFill>
            <w14:solidFill>
              <w14:schemeClr w14:val="tx1"/>
            </w14:solidFill>
          </w14:textFill>
        </w:rPr>
        <w:t>@qq.com</w:t>
      </w:r>
      <w:r>
        <w:rPr>
          <w:rStyle w:val="50"/>
          <w:rFonts w:hint="eastAsia" w:ascii="宋体" w:hAnsi="宋体" w:eastAsia="宋体" w:cs="宋体"/>
          <w:color w:val="000000" w:themeColor="text1"/>
          <w:kern w:val="0"/>
          <w:highlight w:val="none"/>
          <w14:textFill>
            <w14:solidFill>
              <w14:schemeClr w14:val="tx1"/>
            </w14:solidFill>
          </w14:textFill>
        </w:rPr>
        <w:fldChar w:fldCharType="end"/>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0514-80820678</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szCs w:val="21"/>
          <w:highlight w:val="none"/>
        </w:rPr>
        <w:t>同时需与采购代理机构经办人确认是否收到《</w:t>
      </w:r>
      <w:r>
        <w:rPr>
          <w:rFonts w:hint="eastAsia" w:ascii="宋体" w:hAnsi="宋体"/>
          <w:szCs w:val="21"/>
          <w:highlight w:val="none"/>
          <w:lang w:eastAsia="zh-CN"/>
        </w:rPr>
        <w:t>供应商参加投标确认函</w:t>
      </w:r>
      <w:r>
        <w:rPr>
          <w:rFonts w:hint="eastAsia" w:ascii="宋体" w:hAnsi="宋体"/>
          <w:szCs w:val="21"/>
          <w:highlight w:val="none"/>
        </w:rPr>
        <w:t>》</w:t>
      </w:r>
      <w:r>
        <w:rPr>
          <w:rFonts w:hint="eastAsia" w:ascii="宋体" w:hAnsi="宋体" w:cs="宋体"/>
          <w:bCs/>
          <w:kern w:val="0"/>
          <w:szCs w:val="21"/>
          <w:highlight w:val="none"/>
        </w:rPr>
        <w:t>。如供应商未按上述要求去做，将自行承担所产生的风险。</w:t>
      </w:r>
      <w:r>
        <w:rPr>
          <w:rFonts w:hint="eastAsia" w:ascii="宋体" w:hAnsi="宋体"/>
          <w:szCs w:val="21"/>
          <w:highlight w:val="none"/>
        </w:rPr>
        <w:t>未报名（提交确认函）者、超过时限者不得前来投标，内容不全者后果自负</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四、提交投标文件</w:t>
      </w:r>
      <w:bookmarkEnd w:id="17"/>
      <w:bookmarkEnd w:id="18"/>
      <w:r>
        <w:rPr>
          <w:rFonts w:hint="eastAsia" w:ascii="宋体" w:hAnsi="宋体" w:eastAsia="宋体" w:cs="宋体"/>
          <w:color w:val="000000" w:themeColor="text1"/>
          <w:szCs w:val="21"/>
          <w:highlight w:val="none"/>
          <w14:textFill>
            <w14:solidFill>
              <w14:schemeClr w14:val="tx1"/>
            </w14:solidFill>
          </w14:textFill>
        </w:rPr>
        <w:t>截止时间、开标时间和地点</w:t>
      </w:r>
      <w:bookmarkEnd w:id="19"/>
      <w:bookmarkEnd w:id="20"/>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cs="宋体"/>
          <w:color w:val="000000" w:themeColor="text1"/>
          <w:szCs w:val="21"/>
          <w:highlight w:val="none"/>
          <w:lang w:eastAsia="zh-CN"/>
          <w14:textFill>
            <w14:solidFill>
              <w14:schemeClr w14:val="tx1"/>
            </w14:solidFill>
          </w14:textFill>
        </w:rPr>
        <w:t>2024年04月09日09点30分</w:t>
      </w:r>
      <w:r>
        <w:rPr>
          <w:rFonts w:hint="eastAsia" w:ascii="宋体" w:hAnsi="宋体" w:eastAsia="宋体" w:cs="宋体"/>
          <w:color w:val="000000" w:themeColor="text1"/>
          <w:szCs w:val="21"/>
          <w:highlight w:val="none"/>
          <w14:textFill>
            <w14:solidFill>
              <w14:schemeClr w14:val="tx1"/>
            </w14:solidFill>
          </w14:textFill>
        </w:rPr>
        <w:t>（北京时间）；</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2024年04月09日09点30分</w:t>
      </w:r>
      <w:r>
        <w:rPr>
          <w:rFonts w:hint="eastAsia" w:ascii="宋体" w:hAnsi="宋体" w:eastAsia="宋体" w:cs="宋体"/>
          <w:color w:val="000000" w:themeColor="text1"/>
          <w:szCs w:val="21"/>
          <w:highlight w:val="none"/>
          <w14:textFill>
            <w14:solidFill>
              <w14:schemeClr w14:val="tx1"/>
            </w14:solidFill>
          </w14:textFill>
        </w:rPr>
        <w:t>（北京时间）；</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w:t>
      </w:r>
      <w:bookmarkStart w:id="21" w:name="_Toc28359084"/>
      <w:bookmarkStart w:id="22" w:name="_Toc35393625"/>
      <w:bookmarkStart w:id="23" w:name="_Toc28359007"/>
      <w:bookmarkStart w:id="24" w:name="_Toc35393794"/>
      <w:r>
        <w:rPr>
          <w:rFonts w:hint="eastAsia" w:ascii="宋体" w:hAnsi="宋体" w:cs="宋体"/>
          <w:color w:val="000000" w:themeColor="text1"/>
          <w:szCs w:val="21"/>
          <w:highlight w:val="none"/>
          <w:lang w:eastAsia="zh-CN"/>
          <w14:textFill>
            <w14:solidFill>
              <w14:schemeClr w14:val="tx1"/>
            </w14:solidFill>
          </w14:textFill>
        </w:rPr>
        <w:t xml:space="preserve">江苏志诚工程咨询管理有限公司 </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cs="宋体"/>
          <w:color w:val="000000" w:themeColor="text1"/>
          <w:szCs w:val="21"/>
          <w:highlight w:val="none"/>
          <w:lang w:eastAsia="zh-CN"/>
          <w14:textFill>
            <w14:solidFill>
              <w14:schemeClr w14:val="tx1"/>
            </w14:solidFill>
          </w14:textFill>
        </w:rPr>
        <w:t>扬州市邗江区文昌西路305号金都汇商务楼3楼</w:t>
      </w:r>
      <w:r>
        <w:rPr>
          <w:rFonts w:hint="eastAsia" w:ascii="宋体" w:hAnsi="宋体" w:eastAsia="宋体" w:cs="宋体"/>
          <w:color w:val="000000" w:themeColor="text1"/>
          <w:szCs w:val="21"/>
          <w:highlight w:val="none"/>
          <w14:textFill>
            <w14:solidFill>
              <w14:schemeClr w14:val="tx1"/>
            </w14:solidFill>
          </w14:textFill>
        </w:rPr>
        <w:t>）。</w:t>
      </w:r>
    </w:p>
    <w:bookmarkEnd w:id="21"/>
    <w:bookmarkEnd w:id="22"/>
    <w:bookmarkEnd w:id="23"/>
    <w:bookmarkEnd w:id="24"/>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5" w:name="_Toc28359008"/>
      <w:bookmarkStart w:id="26" w:name="_Toc35393627"/>
      <w:bookmarkStart w:id="27" w:name="_Toc35393796"/>
      <w:bookmarkStart w:id="28" w:name="_Toc28359085"/>
      <w:r>
        <w:rPr>
          <w:rFonts w:hint="eastAsia" w:ascii="宋体" w:hAnsi="宋体" w:eastAsia="宋体" w:cs="宋体"/>
          <w:color w:val="000000" w:themeColor="text1"/>
          <w:szCs w:val="21"/>
          <w:highlight w:val="none"/>
          <w14:textFill>
            <w14:solidFill>
              <w14:schemeClr w14:val="tx1"/>
            </w14:solidFill>
          </w14:textFill>
        </w:rPr>
        <w:t>五、公告期限</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自本公告发布之日起5个工作日。</w:t>
      </w:r>
    </w:p>
    <w:p>
      <w:pPr>
        <w:numPr>
          <w:ilvl w:val="0"/>
          <w:numId w:val="6"/>
        </w:num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其他补充事宜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1、拒绝下述供应商参加本次采购活动：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（1）供应商单位负责人为同一人或者存在直接控股、管理关系的不同供应商，不得参加同一合同项下的政府采购活动。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（2）凡为采购项目提供整体设计、规范编制或者项目管理、监理、检测、代理等服务的供应商，不得再参加该项目的其他采购活动。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2、有关本次招标的事项若存在变动或修改，敬请及时关注“</w:t>
      </w:r>
      <w:r>
        <w:rPr>
          <w:rFonts w:hint="eastAsia" w:ascii="宋体" w:hAnsi="宋体" w:cs="宋体"/>
          <w:color w:val="000000" w:themeColor="text1"/>
          <w:highlight w:val="none"/>
          <w:lang w:eastAsia="zh-CN"/>
          <w14:textFill>
            <w14:solidFill>
              <w14:schemeClr w14:val="tx1"/>
            </w14:solidFill>
          </w14:textFill>
        </w:rPr>
        <w:t>扬州维扬发展投资有限公司网站、江苏省招标投标公共服务平台</w:t>
      </w:r>
      <w:r>
        <w:rPr>
          <w:rFonts w:hint="eastAsia" w:ascii="宋体" w:hAnsi="宋体" w:eastAsia="宋体" w:cs="宋体"/>
          <w:color w:val="000000" w:themeColor="text1"/>
          <w:szCs w:val="21"/>
          <w:highlight w:val="none"/>
          <w14:textFill>
            <w14:solidFill>
              <w14:schemeClr w14:val="tx1"/>
            </w14:solidFill>
          </w14:textFill>
        </w:rPr>
        <w:t>”的信息或更正公告。</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文件一式伍份（一份正本，肆份副本)，每份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4、本次投标保证金要求：本项目免收投标保证金。</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5、潜在供应商对采购文件项目需求部分的询问、质疑请向采购人提出，由采购人负责答复。</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i/>
          <w:iCs/>
          <w:color w:val="000000" w:themeColor="text1"/>
          <w:szCs w:val="21"/>
          <w:highlight w:val="none"/>
          <w:u w:val="single"/>
          <w14:textFill>
            <w14:solidFill>
              <w14:schemeClr w14:val="tx1"/>
            </w14:solidFill>
          </w14:textFill>
        </w:rPr>
        <w:t>本项目采购文件中所有斜体下划线部分为实质性条款，如不满足，则为无效投标。</w:t>
      </w:r>
    </w:p>
    <w:p>
      <w:pPr>
        <w:widowControl/>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七、对本次招标提出询问，请按以下方式联系。</w:t>
      </w:r>
    </w:p>
    <w:bookmarkEnd w:id="25"/>
    <w:bookmarkEnd w:id="26"/>
    <w:bookmarkEnd w:id="27"/>
    <w:bookmarkEnd w:id="28"/>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称：扬州</w:t>
      </w:r>
      <w:r>
        <w:rPr>
          <w:rFonts w:hint="eastAsia" w:ascii="宋体" w:hAnsi="宋体" w:eastAsia="宋体" w:cs="宋体"/>
          <w:color w:val="000000" w:themeColor="text1"/>
          <w:szCs w:val="21"/>
          <w:highlight w:val="none"/>
          <w:lang w:val="en-US" w:eastAsia="zh-CN"/>
          <w14:textFill>
            <w14:solidFill>
              <w14:schemeClr w14:val="tx1"/>
            </w14:solidFill>
          </w14:textFill>
        </w:rPr>
        <w:t>锦佑</w:t>
      </w:r>
      <w:r>
        <w:rPr>
          <w:rFonts w:hint="eastAsia" w:ascii="宋体" w:hAnsi="宋体" w:eastAsia="宋体" w:cs="宋体"/>
          <w:color w:val="000000" w:themeColor="text1"/>
          <w:szCs w:val="21"/>
          <w:highlight w:val="none"/>
          <w14:textFill>
            <w14:solidFill>
              <w14:schemeClr w14:val="tx1"/>
            </w14:solidFill>
          </w14:textFill>
        </w:rPr>
        <w:t xml:space="preserve">置业有限公司　　 </w:t>
      </w:r>
    </w:p>
    <w:bookmarkEnd w:id="3"/>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bookmarkStart w:id="29" w:name="_Toc28359020"/>
      <w:bookmarkStart w:id="30" w:name="_Toc28359097"/>
      <w:bookmarkStart w:id="31" w:name="_Toc35393638"/>
      <w:bookmarkStart w:id="32" w:name="_Toc35393807"/>
      <w:bookmarkStart w:id="33" w:name="_Toc497133091"/>
      <w:r>
        <w:rPr>
          <w:rFonts w:hint="eastAsia" w:ascii="宋体" w:hAnsi="宋体" w:eastAsia="宋体" w:cs="宋体"/>
          <w:color w:val="000000" w:themeColor="text1"/>
          <w:szCs w:val="21"/>
          <w:highlight w:val="none"/>
          <w14:textFill>
            <w14:solidFill>
              <w14:schemeClr w14:val="tx1"/>
            </w14:solidFill>
          </w14:textFill>
        </w:rPr>
        <w:t>2.采购代理机构信息</w:t>
      </w:r>
      <w:bookmarkEnd w:id="29"/>
      <w:bookmarkEnd w:id="30"/>
      <w:bookmarkEnd w:id="31"/>
      <w:bookmarkEnd w:id="32"/>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江苏志诚工程咨询管理有限公司</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630" w:firstLineChars="3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lang w:eastAsia="zh-CN"/>
          <w14:textFill>
            <w14:solidFill>
              <w14:schemeClr w14:val="tx1"/>
            </w14:solidFill>
          </w14:textFill>
        </w:rPr>
        <w:t>扬州市邗江区文昌西路305号金都汇商务楼3楼</w:t>
      </w:r>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eastAsia="zh-CN"/>
          <w14:textFill>
            <w14:solidFill>
              <w14:schemeClr w14:val="tx1"/>
            </w14:solidFill>
          </w14:textFill>
        </w:rPr>
        <w:t>耿工</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0514-80820678</w:t>
      </w:r>
      <w:bookmarkStart w:id="34" w:name="_Toc35393808"/>
      <w:bookmarkStart w:id="35" w:name="_Toc35393639"/>
      <w:bookmarkStart w:id="36" w:name="_Toc28359021"/>
      <w:bookmarkStart w:id="37" w:name="_Toc28359098"/>
      <w:bookmarkStart w:id="38" w:name="_Toc87643907"/>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3、项目联系方式</w:t>
      </w:r>
      <w:bookmarkEnd w:id="34"/>
      <w:bookmarkEnd w:id="35"/>
      <w:bookmarkEnd w:id="36"/>
      <w:bookmarkEnd w:id="37"/>
      <w:bookmarkEnd w:id="38"/>
    </w:p>
    <w:p>
      <w:pPr>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bookmarkStart w:id="39" w:name="_Toc87643908"/>
      <w:r>
        <w:rPr>
          <w:rFonts w:hint="eastAsia" w:ascii="宋体" w:hAnsi="宋体" w:eastAsia="宋体" w:cs="宋体"/>
          <w:color w:val="000000" w:themeColor="text1"/>
          <w:szCs w:val="21"/>
          <w:highlight w:val="none"/>
          <w14:textFill>
            <w14:solidFill>
              <w14:schemeClr w14:val="tx1"/>
            </w14:solidFill>
          </w14:textFill>
        </w:rPr>
        <w:t>项目联系人：</w:t>
      </w:r>
      <w:bookmarkEnd w:id="39"/>
      <w:r>
        <w:rPr>
          <w:rFonts w:hint="eastAsia" w:ascii="宋体" w:hAnsi="宋体" w:cs="宋体"/>
          <w:color w:val="000000" w:themeColor="text1"/>
          <w:szCs w:val="21"/>
          <w:highlight w:val="none"/>
          <w:lang w:eastAsia="zh-CN"/>
          <w14:textFill>
            <w14:solidFill>
              <w14:schemeClr w14:val="tx1"/>
            </w14:solidFill>
          </w14:textFill>
        </w:rPr>
        <w:t>耿工</w:t>
      </w: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630" w:firstLineChars="3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eastAsia="zh-CN"/>
          <w14:textFill>
            <w14:solidFill>
              <w14:schemeClr w14:val="tx1"/>
            </w14:solidFill>
          </w14:textFill>
        </w:rPr>
        <w:t>0514-80820678</w:t>
      </w:r>
      <w:bookmarkEnd w:id="33"/>
    </w:p>
    <w:p>
      <w:pPr>
        <w:pStyle w:val="29"/>
        <w:rPr>
          <w:rFonts w:hint="eastAsia" w:ascii="宋体" w:hAnsi="宋体" w:cs="宋体"/>
          <w:color w:val="000000" w:themeColor="text1"/>
          <w:szCs w:val="21"/>
          <w:highlight w:val="none"/>
          <w:lang w:eastAsia="zh-CN"/>
          <w14:textFill>
            <w14:solidFill>
              <w14:schemeClr w14:val="tx1"/>
            </w14:solidFill>
          </w14:textFill>
        </w:rPr>
      </w:pPr>
    </w:p>
    <w:p>
      <w:pPr>
        <w:pStyle w:val="29"/>
        <w:rPr>
          <w:rFonts w:hint="eastAsia" w:ascii="宋体" w:hAnsi="宋体" w:cs="宋体"/>
          <w:color w:val="000000" w:themeColor="text1"/>
          <w:szCs w:val="21"/>
          <w:highlight w:val="none"/>
          <w:lang w:eastAsia="zh-CN"/>
          <w14:textFill>
            <w14:solidFill>
              <w14:schemeClr w14:val="tx1"/>
            </w14:solidFill>
          </w14:textFill>
        </w:rPr>
      </w:pPr>
    </w:p>
    <w:p>
      <w:pPr>
        <w:spacing w:line="360" w:lineRule="auto"/>
        <w:ind w:firstLine="420" w:firstLineChars="200"/>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 xml:space="preserve">江苏志诚工程咨询管理有限公司 </w:t>
      </w:r>
    </w:p>
    <w:p>
      <w:pPr>
        <w:pStyle w:val="2"/>
        <w:spacing w:before="0" w:after="0" w:line="360" w:lineRule="auto"/>
        <w:ind w:firstLine="42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03</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日</w:t>
      </w:r>
      <w:bookmarkStart w:id="40" w:name="_Toc5818"/>
      <w:bookmarkStart w:id="41" w:name="_Toc22574"/>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pStyle w:val="2"/>
        <w:spacing w:before="0" w:after="0" w:line="360" w:lineRule="auto"/>
        <w:ind w:firstLine="72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第二章 投标人须知</w:t>
      </w:r>
      <w:bookmarkEnd w:id="40"/>
      <w:bookmarkEnd w:id="41"/>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42" w:name="_Toc513029204"/>
      <w:bookmarkStart w:id="43" w:name="_Toc20823276"/>
      <w:bookmarkStart w:id="44" w:name="_Toc16938520"/>
      <w:r>
        <w:rPr>
          <w:rFonts w:hint="eastAsia" w:ascii="宋体" w:hAnsi="宋体" w:eastAsia="宋体" w:cs="宋体"/>
          <w:b/>
          <w:color w:val="000000" w:themeColor="text1"/>
          <w:szCs w:val="21"/>
          <w:highlight w:val="none"/>
          <w14:textFill>
            <w14:solidFill>
              <w14:schemeClr w14:val="tx1"/>
            </w14:solidFill>
          </w14:textFill>
        </w:rPr>
        <w:t>1、招标方式</w:t>
      </w:r>
      <w:bookmarkEnd w:id="42"/>
      <w:bookmarkEnd w:id="43"/>
      <w:bookmarkEnd w:id="44"/>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 </w:t>
      </w:r>
      <w:r>
        <w:rPr>
          <w:rStyle w:val="70"/>
          <w:rFonts w:hint="eastAsia" w:ascii="宋体" w:hAnsi="宋体" w:eastAsia="宋体" w:cs="宋体"/>
          <w:color w:val="000000" w:themeColor="text1"/>
          <w:highlight w:val="none"/>
          <w14:textFill>
            <w14:solidFill>
              <w14:schemeClr w14:val="tx1"/>
            </w14:solidFill>
          </w14:textFill>
        </w:rPr>
        <w:t>本次招标采取公开招标方式，本招标文件仅适用于</w:t>
      </w:r>
      <w:r>
        <w:rPr>
          <w:rFonts w:hint="eastAsia" w:ascii="宋体" w:hAnsi="宋体" w:eastAsia="宋体" w:cs="宋体"/>
          <w:color w:val="000000" w:themeColor="text1"/>
          <w:szCs w:val="21"/>
          <w:highlight w:val="none"/>
          <w:lang w:eastAsia="zh-CN"/>
          <w14:textFill>
            <w14:solidFill>
              <w14:schemeClr w14:val="tx1"/>
            </w14:solidFill>
          </w14:textFill>
        </w:rPr>
        <w:t>JSZCZC2024013</w:t>
      </w:r>
      <w:r>
        <w:rPr>
          <w:rFonts w:hint="eastAsia" w:ascii="宋体" w:hAnsi="宋体" w:eastAsia="宋体" w:cs="宋体"/>
          <w:color w:val="000000" w:themeColor="text1"/>
          <w:szCs w:val="21"/>
          <w:highlight w:val="none"/>
          <w14:textFill>
            <w14:solidFill>
              <w14:schemeClr w14:val="tx1"/>
            </w14:solidFill>
          </w14:textFill>
        </w:rPr>
        <w:t>号项目。</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45" w:name="_Toc16938521"/>
      <w:bookmarkStart w:id="46" w:name="_Toc513029205"/>
      <w:bookmarkStart w:id="47" w:name="_Toc20823277"/>
      <w:bookmarkStart w:id="48" w:name="_Toc16938553"/>
      <w:bookmarkStart w:id="49" w:name="_Toc513029237"/>
      <w:bookmarkStart w:id="50" w:name="_Toc20823309"/>
      <w:r>
        <w:rPr>
          <w:rFonts w:hint="eastAsia" w:ascii="宋体" w:hAnsi="宋体" w:eastAsia="宋体" w:cs="宋体"/>
          <w:b/>
          <w:color w:val="000000" w:themeColor="text1"/>
          <w:szCs w:val="21"/>
          <w:highlight w:val="none"/>
          <w14:textFill>
            <w14:solidFill>
              <w14:schemeClr w14:val="tx1"/>
            </w14:solidFill>
          </w14:textFill>
        </w:rPr>
        <w:t>2、投标人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本招标文件中“供应商”，即“投标人”，是指参加投标竞争，并符合招标文件规定资格条件的法人、其他组织或者自然人。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2.2合格的投标人</w:t>
      </w:r>
      <w:bookmarkEnd w:id="45"/>
      <w:bookmarkEnd w:id="46"/>
      <w:bookmarkEnd w:id="47"/>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 满足投标邀请中供应商的资格条件要求的规定。</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 满足本文件实质性条款的规定。</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51" w:name="_Toc513029206"/>
      <w:bookmarkStart w:id="52" w:name="_Toc16938522"/>
      <w:bookmarkStart w:id="53" w:name="_Toc20823278"/>
      <w:r>
        <w:rPr>
          <w:rFonts w:hint="eastAsia" w:ascii="宋体" w:hAnsi="宋体" w:eastAsia="宋体" w:cs="宋体"/>
          <w:b/>
          <w:color w:val="000000" w:themeColor="text1"/>
          <w:szCs w:val="21"/>
          <w:highlight w:val="none"/>
          <w14:textFill>
            <w14:solidFill>
              <w14:schemeClr w14:val="tx1"/>
            </w14:solidFill>
          </w14:textFill>
        </w:rPr>
        <w:t>3、适用法律</w:t>
      </w:r>
      <w:bookmarkEnd w:id="51"/>
      <w:bookmarkEnd w:id="52"/>
      <w:bookmarkEnd w:id="53"/>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 本次招标及由此产生的合同受中华人民共和国有关的法律法规制约和保护。</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4、投标费用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4.1</w:t>
      </w:r>
      <w:r>
        <w:rPr>
          <w:rFonts w:hint="eastAsia" w:ascii="宋体" w:hAnsi="宋体" w:eastAsia="宋体" w:cs="宋体"/>
          <w:color w:val="000000" w:themeColor="text1"/>
          <w:szCs w:val="21"/>
          <w:highlight w:val="none"/>
          <w14:textFill>
            <w14:solidFill>
              <w14:schemeClr w14:val="tx1"/>
            </w14:solidFill>
          </w14:textFill>
        </w:rPr>
        <w:t xml:space="preserve"> 投标人应自行承担所有与参加投标有关的费用，无论投标过程中的做法和结果如何，代理机构在任何情况下均无义务和责任承担这些费用。</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4.2本次采购由</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人在领取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通知书前一次性支付给招标代理机构专家评审费（专家评审费暂按 500 元/人次计取，按实结算（不提供发票）。专家评审费以现金形式支付，专家评审费不在报价中单列，由</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人支付给代理机构。</w:t>
      </w:r>
    </w:p>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5、招标文件的约束力</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5.1</w:t>
      </w:r>
      <w:r>
        <w:rPr>
          <w:rFonts w:hint="eastAsia" w:ascii="宋体" w:hAnsi="宋体" w:eastAsia="宋体" w:cs="宋体"/>
          <w:color w:val="000000" w:themeColor="text1"/>
          <w:szCs w:val="21"/>
          <w:highlight w:val="none"/>
          <w14:textFill>
            <w14:solidFill>
              <w14:schemeClr w14:val="tx1"/>
            </w14:solidFill>
          </w14:textFill>
        </w:rPr>
        <w:t xml:space="preserve"> 投标人一旦参加本项目采购活动，即被认为接受了本招标文件的规定和约束。</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54" w:name="_Toc20823282"/>
      <w:bookmarkStart w:id="55" w:name="_Toc513029210"/>
      <w:bookmarkStart w:id="56" w:name="_Toc16938526"/>
      <w:r>
        <w:rPr>
          <w:rFonts w:hint="eastAsia" w:ascii="宋体" w:hAnsi="宋体" w:eastAsia="宋体" w:cs="宋体"/>
          <w:b/>
          <w:color w:val="000000" w:themeColor="text1"/>
          <w:szCs w:val="21"/>
          <w:highlight w:val="none"/>
          <w14:textFill>
            <w14:solidFill>
              <w14:schemeClr w14:val="tx1"/>
            </w14:solidFill>
          </w14:textFill>
        </w:rPr>
        <w:t>6、招标文件构成</w:t>
      </w:r>
      <w:bookmarkEnd w:id="54"/>
      <w:bookmarkEnd w:id="55"/>
      <w:bookmarkEnd w:id="56"/>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6.1</w:t>
      </w:r>
      <w:r>
        <w:rPr>
          <w:rFonts w:hint="eastAsia" w:ascii="宋体" w:hAnsi="宋体" w:eastAsia="宋体" w:cs="宋体"/>
          <w:color w:val="000000" w:themeColor="text1"/>
          <w:szCs w:val="21"/>
          <w:highlight w:val="none"/>
          <w14:textFill>
            <w14:solidFill>
              <w14:schemeClr w14:val="tx1"/>
            </w14:solidFill>
          </w14:textFill>
        </w:rPr>
        <w:t xml:space="preserve"> 招标文件有以下部分组成：</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（1）招标公告；</w:t>
      </w:r>
    </w:p>
    <w:p>
      <w:pPr>
        <w:tabs>
          <w:tab w:val="left" w:pos="2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（2）投标人须知；</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（3）合同条款及格式；</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（4）项目需求；</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（5）评标方法与评标标准；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（6）投标文件格式。</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请仔细检查招标文件是否齐全，如有缺漏请立即与代理机构联系解决。</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6.3 招标文件如果要求供应商提交备选投标方案的，供应商可以提交备选方案；否则，备选方案将被拒绝。</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6.4</w:t>
      </w:r>
      <w:r>
        <w:rPr>
          <w:rFonts w:hint="eastAsia" w:ascii="宋体" w:hAnsi="宋体" w:eastAsia="宋体" w:cs="宋体"/>
          <w:color w:val="000000" w:themeColor="text1"/>
          <w:szCs w:val="21"/>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57" w:name="_Toc462564070"/>
      <w:bookmarkStart w:id="58" w:name="_Toc513029211"/>
      <w:bookmarkStart w:id="59" w:name="_Toc16938527"/>
      <w:bookmarkStart w:id="60" w:name="_Toc20823283"/>
      <w:r>
        <w:rPr>
          <w:rFonts w:hint="eastAsia" w:ascii="宋体" w:hAnsi="宋体" w:eastAsia="宋体" w:cs="宋体"/>
          <w:b/>
          <w:color w:val="000000" w:themeColor="text1"/>
          <w:szCs w:val="21"/>
          <w:highlight w:val="none"/>
          <w14:textFill>
            <w14:solidFill>
              <w14:schemeClr w14:val="tx1"/>
            </w14:solidFill>
          </w14:textFill>
        </w:rPr>
        <w:t>7、招标文件的</w:t>
      </w:r>
      <w:bookmarkEnd w:id="57"/>
      <w:bookmarkEnd w:id="58"/>
      <w:bookmarkEnd w:id="59"/>
      <w:bookmarkEnd w:id="60"/>
      <w:r>
        <w:rPr>
          <w:rFonts w:hint="eastAsia" w:ascii="宋体" w:hAnsi="宋体" w:eastAsia="宋体" w:cs="宋体"/>
          <w:b/>
          <w:color w:val="000000" w:themeColor="text1"/>
          <w:szCs w:val="21"/>
          <w:highlight w:val="none"/>
          <w14:textFill>
            <w14:solidFill>
              <w14:schemeClr w14:val="tx1"/>
            </w14:solidFill>
          </w14:textFill>
        </w:rPr>
        <w:t>澄清</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 任何要求对招标文件进行澄清的投标人，应在投标截止日期的十</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eastAsia="宋体" w:cs="宋体"/>
          <w:color w:val="000000" w:themeColor="text1"/>
          <w:szCs w:val="21"/>
          <w:highlight w:val="none"/>
          <w14:textFill>
            <w14:solidFill>
              <w14:schemeClr w14:val="tx1"/>
            </w14:solidFill>
          </w14:textFill>
        </w:rPr>
        <w:t>日前按投标邀请中的通讯地址，以书面形式通知代理机构。</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61" w:name="_Toc462564071"/>
      <w:bookmarkStart w:id="62" w:name="_Toc513029212"/>
      <w:bookmarkStart w:id="63" w:name="_Toc16938528"/>
      <w:bookmarkStart w:id="64" w:name="_Toc20823284"/>
      <w:r>
        <w:rPr>
          <w:rFonts w:hint="eastAsia" w:ascii="宋体" w:hAnsi="宋体" w:eastAsia="宋体" w:cs="宋体"/>
          <w:b/>
          <w:color w:val="000000" w:themeColor="text1"/>
          <w:szCs w:val="21"/>
          <w:highlight w:val="none"/>
          <w14:textFill>
            <w14:solidFill>
              <w14:schemeClr w14:val="tx1"/>
            </w14:solidFill>
          </w14:textFill>
        </w:rPr>
        <w:t>8、招标文件的修改</w:t>
      </w:r>
      <w:bookmarkEnd w:id="61"/>
      <w:bookmarkEnd w:id="62"/>
      <w:bookmarkEnd w:id="63"/>
      <w:bookmarkEnd w:id="64"/>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8.1</w:t>
      </w:r>
      <w:r>
        <w:rPr>
          <w:rFonts w:hint="eastAsia" w:ascii="宋体" w:hAnsi="宋体" w:eastAsia="宋体" w:cs="宋体"/>
          <w:color w:val="000000" w:themeColor="text1"/>
          <w:szCs w:val="21"/>
          <w:highlight w:val="none"/>
          <w14:textFill>
            <w14:solidFill>
              <w14:schemeClr w14:val="tx1"/>
            </w14:solidFill>
          </w14:textFill>
        </w:rPr>
        <w:t xml:space="preserve"> 在投标截止时间前，代理机构可以对招标文件进行修改。</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8.3</w:t>
      </w:r>
      <w:r>
        <w:rPr>
          <w:rFonts w:hint="eastAsia" w:ascii="宋体" w:hAnsi="宋体" w:eastAsia="宋体" w:cs="宋体"/>
          <w:color w:val="000000" w:themeColor="text1"/>
          <w:szCs w:val="21"/>
          <w:highlight w:val="none"/>
          <w14:textFill>
            <w14:solidFill>
              <w14:schemeClr w14:val="tx1"/>
            </w14:solidFill>
          </w14:textFill>
        </w:rPr>
        <w:t>招标文件的修改将在“</w:t>
      </w:r>
      <w:r>
        <w:rPr>
          <w:rFonts w:hint="eastAsia" w:ascii="宋体" w:hAnsi="宋体" w:cs="宋体"/>
          <w:color w:val="000000" w:themeColor="text1"/>
          <w:highlight w:val="none"/>
          <w:lang w:eastAsia="zh-CN"/>
          <w14:textFill>
            <w14:solidFill>
              <w14:schemeClr w14:val="tx1"/>
            </w14:solidFill>
          </w14:textFill>
        </w:rPr>
        <w:t>扬州维扬发展投资有限公司网站、江苏省招标投标公共服务平台</w:t>
      </w:r>
      <w:r>
        <w:rPr>
          <w:rFonts w:hint="eastAsia" w:ascii="宋体" w:hAnsi="宋体" w:eastAsia="宋体" w:cs="宋体"/>
          <w:color w:val="000000" w:themeColor="text1"/>
          <w:szCs w:val="21"/>
          <w:highlight w:val="none"/>
          <w14:textFill>
            <w14:solidFill>
              <w14:schemeClr w14:val="tx1"/>
            </w14:solidFill>
          </w14:textFill>
        </w:rPr>
        <w:t>”公布，补充文件将作为招标文件的组成部分，并对投标人具有约束力。</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8.4投标人应在投标截止时间前关注原采购信息发布媒体上有关本招标项目有无变更公告。</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65" w:name="_Toc462564073"/>
      <w:bookmarkStart w:id="66" w:name="_Toc513029214"/>
      <w:bookmarkStart w:id="67" w:name="_Toc16938530"/>
      <w:bookmarkStart w:id="68" w:name="_Toc20823286"/>
      <w:r>
        <w:rPr>
          <w:rFonts w:hint="eastAsia" w:ascii="宋体" w:hAnsi="宋体" w:eastAsia="宋体" w:cs="宋体"/>
          <w:b/>
          <w:color w:val="000000" w:themeColor="text1"/>
          <w:szCs w:val="21"/>
          <w:highlight w:val="none"/>
          <w14:textFill>
            <w14:solidFill>
              <w14:schemeClr w14:val="tx1"/>
            </w14:solidFill>
          </w14:textFill>
        </w:rPr>
        <w:t>9、投标文件的语言、度量衡单位</w:t>
      </w:r>
      <w:bookmarkEnd w:id="65"/>
      <w:bookmarkEnd w:id="66"/>
      <w:bookmarkEnd w:id="67"/>
      <w:bookmarkEnd w:id="68"/>
      <w:r>
        <w:rPr>
          <w:rFonts w:hint="eastAsia" w:ascii="宋体" w:hAnsi="宋体" w:eastAsia="宋体" w:cs="宋体"/>
          <w:b/>
          <w:color w:val="000000" w:themeColor="text1"/>
          <w:szCs w:val="21"/>
          <w:highlight w:val="none"/>
          <w14:textFill>
            <w14:solidFill>
              <w14:schemeClr w14:val="tx1"/>
            </w14:solidFill>
          </w14:textFill>
        </w:rPr>
        <w:t>、货币和编制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9.1</w:t>
      </w:r>
      <w:r>
        <w:rPr>
          <w:rFonts w:hint="eastAsia" w:ascii="宋体" w:hAnsi="宋体" w:eastAsia="宋体" w:cs="宋体"/>
          <w:color w:val="000000" w:themeColor="text1"/>
          <w:szCs w:val="21"/>
          <w:highlight w:val="none"/>
          <w14:textFill>
            <w14:solidFill>
              <w14:schemeClr w14:val="tx1"/>
            </w14:solidFill>
          </w14:textFill>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9.2</w:t>
      </w:r>
      <w:r>
        <w:rPr>
          <w:rFonts w:hint="eastAsia" w:ascii="宋体" w:hAnsi="宋体" w:eastAsia="宋体" w:cs="宋体"/>
          <w:color w:val="000000" w:themeColor="text1"/>
          <w:szCs w:val="21"/>
          <w:highlight w:val="none"/>
          <w14:textFill>
            <w14:solidFill>
              <w14:schemeClr w14:val="tx1"/>
            </w14:solidFill>
          </w14:textFill>
        </w:rPr>
        <w:t xml:space="preserve"> 除技术性能另有规定外，投标文件所使用的度量衡单位，均须采用国家法定计量单位。</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9.3投标人应使用人民币报价。</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9.4投标文件应字迹清楚、内容齐全、不得涂改。如有修改，修改处须有投标人加盖公章和法定代表人或其授权代表签字。</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69" w:name="_Toc513029215"/>
      <w:bookmarkStart w:id="70" w:name="_Toc20823287"/>
      <w:bookmarkStart w:id="71" w:name="_Toc462564074"/>
      <w:bookmarkStart w:id="72" w:name="_Toc16938531"/>
      <w:r>
        <w:rPr>
          <w:rFonts w:hint="eastAsia" w:ascii="宋体" w:hAnsi="宋体" w:eastAsia="宋体" w:cs="宋体"/>
          <w:b/>
          <w:color w:val="000000" w:themeColor="text1"/>
          <w:szCs w:val="21"/>
          <w:highlight w:val="none"/>
          <w14:textFill>
            <w14:solidFill>
              <w14:schemeClr w14:val="tx1"/>
            </w14:solidFill>
          </w14:textFill>
        </w:rPr>
        <w:t>10、投标文件构成</w:t>
      </w:r>
      <w:bookmarkEnd w:id="69"/>
      <w:bookmarkEnd w:id="70"/>
      <w:bookmarkEnd w:id="71"/>
      <w:bookmarkEnd w:id="72"/>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10.1</w:t>
      </w:r>
      <w:r>
        <w:rPr>
          <w:rFonts w:hint="eastAsia" w:ascii="宋体" w:hAnsi="宋体" w:eastAsia="宋体" w:cs="宋体"/>
          <w:color w:val="000000" w:themeColor="text1"/>
          <w:szCs w:val="21"/>
          <w:highlight w:val="none"/>
          <w14:textFill>
            <w14:solidFill>
              <w14:schemeClr w14:val="tx1"/>
            </w14:solidFill>
          </w14:textFill>
        </w:rPr>
        <w:t xml:space="preserve"> 投标人编写的投标文件应包括：资信证明文件、供货一览表、技术参数响应及偏离表、商务条款响应及偏离表、技术及售后服务承诺书、开标一览表、投标产品配置等部分；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3" w:name="_Toc513029219"/>
      <w:bookmarkStart w:id="74" w:name="_Toc14577357"/>
      <w:bookmarkStart w:id="75" w:name="_Toc49090509"/>
      <w:bookmarkStart w:id="76" w:name="_Toc14577354"/>
      <w:bookmarkStart w:id="77" w:name="_Toc49090507"/>
      <w:bookmarkStart w:id="78" w:name="_Toc513029216"/>
      <w:r>
        <w:rPr>
          <w:rFonts w:hint="eastAsia" w:ascii="宋体" w:hAnsi="宋体" w:eastAsia="宋体" w:cs="宋体"/>
          <w:color w:val="000000" w:themeColor="text1"/>
          <w:szCs w:val="21"/>
          <w:highlight w:val="none"/>
          <w14:textFill>
            <w14:solidFill>
              <w14:schemeClr w14:val="tx1"/>
            </w14:solidFill>
          </w14:textFill>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11、证明投标人资格及符合招标文件规定的文件</w:t>
      </w:r>
      <w:bookmarkEnd w:id="73"/>
      <w:bookmarkEnd w:id="74"/>
      <w:bookmarkEnd w:id="75"/>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11.1投标人应按要求提交资信证明文件及符合招标文件规定的文件。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11.2投标人应提交证明其有资格参加投标和中标后有能力独立履行合同的文件。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11.3投标人除必须具有履行合同所需提供的货物以及服务的能力外，还必须具备相应的财务、技术方面的能力。</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11.4投标人应提交根据合同要求提供的证明产品质量合格以及符合招标文件规定的证明文件。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11.5证明投标人所提供货物与招标文件的要求相一致的文件可以是手册、图纸、文字资料和数据</w:t>
      </w:r>
      <w:r>
        <w:rPr>
          <w:rFonts w:hint="eastAsia" w:ascii="宋体" w:hAnsi="宋体" w:eastAsia="宋体" w:cs="宋体"/>
          <w:bCs/>
          <w:color w:val="000000" w:themeColor="text1"/>
          <w:szCs w:val="21"/>
          <w:highlight w:val="none"/>
          <w14:textFill>
            <w14:solidFill>
              <w14:schemeClr w14:val="tx1"/>
            </w14:solidFill>
          </w14:textFill>
        </w:rPr>
        <w:t>。</w:t>
      </w:r>
    </w:p>
    <w:bookmarkEnd w:id="76"/>
    <w:bookmarkEnd w:id="77"/>
    <w:bookmarkEnd w:id="78"/>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79" w:name="_Toc14577355"/>
      <w:bookmarkStart w:id="80" w:name="_Toc49090508"/>
      <w:r>
        <w:rPr>
          <w:rFonts w:hint="eastAsia" w:ascii="宋体" w:hAnsi="宋体" w:eastAsia="宋体" w:cs="宋体"/>
          <w:b/>
          <w:color w:val="000000" w:themeColor="text1"/>
          <w:szCs w:val="21"/>
          <w:highlight w:val="none"/>
          <w14:textFill>
            <w14:solidFill>
              <w14:schemeClr w14:val="tx1"/>
            </w14:solidFill>
          </w14:textFill>
        </w:rPr>
        <w:t>12、供货一览表和投标配置</w:t>
      </w:r>
      <w:bookmarkEnd w:id="79"/>
      <w:bookmarkEnd w:id="80"/>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12.1</w:t>
      </w:r>
      <w:r>
        <w:rPr>
          <w:rFonts w:hint="eastAsia" w:ascii="宋体" w:hAnsi="宋体" w:eastAsia="宋体" w:cs="宋体"/>
          <w:color w:val="000000" w:themeColor="text1"/>
          <w:szCs w:val="21"/>
          <w:highlight w:val="none"/>
          <w14:textFill>
            <w14:solidFill>
              <w14:schemeClr w14:val="tx1"/>
            </w14:solidFill>
          </w14:textFill>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12.2</w:t>
      </w:r>
      <w:r>
        <w:rPr>
          <w:rFonts w:hint="eastAsia" w:ascii="宋体" w:hAnsi="宋体" w:eastAsia="宋体" w:cs="宋体"/>
          <w:color w:val="000000" w:themeColor="text1"/>
          <w:szCs w:val="21"/>
          <w:highlight w:val="none"/>
          <w14:textFill>
            <w14:solidFill>
              <w14:schemeClr w14:val="tx1"/>
            </w14:solidFill>
          </w14:textFill>
        </w:rPr>
        <w:t xml:space="preserve"> 标的物。</w:t>
      </w:r>
      <w:r>
        <w:rPr>
          <w:rFonts w:hint="eastAsia" w:ascii="宋体" w:hAnsi="宋体" w:eastAsia="宋体" w:cs="宋体"/>
          <w:bCs/>
          <w:color w:val="000000" w:themeColor="text1"/>
          <w:szCs w:val="21"/>
          <w:highlight w:val="none"/>
          <w14:textFill>
            <w14:solidFill>
              <w14:schemeClr w14:val="tx1"/>
            </w14:solidFill>
          </w14:textFill>
        </w:rPr>
        <w:t>采购人需求的货物供应、安装，调试及有关技术服务等</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w:t>
      </w:r>
      <w:r>
        <w:rPr>
          <w:rFonts w:hint="eastAsia" w:ascii="宋体" w:hAnsi="宋体" w:eastAsia="宋体" w:cs="宋体"/>
          <w:bCs/>
          <w:color w:val="000000" w:themeColor="text1"/>
          <w:szCs w:val="21"/>
          <w:highlight w:val="none"/>
          <w14:textFill>
            <w14:solidFill>
              <w14:schemeClr w14:val="tx1"/>
            </w14:solidFill>
          </w14:textFill>
        </w:rPr>
        <w:t>有关费用处理。</w:t>
      </w:r>
      <w:r>
        <w:rPr>
          <w:rFonts w:hint="eastAsia" w:ascii="宋体" w:hAnsi="宋体" w:eastAsia="宋体" w:cs="宋体"/>
          <w:color w:val="000000" w:themeColor="text1"/>
          <w:szCs w:val="21"/>
          <w:highlight w:val="none"/>
          <w14:textFill>
            <w14:solidFill>
              <w14:schemeClr w14:val="tx1"/>
            </w14:solidFill>
          </w14:textFill>
        </w:rPr>
        <w:t>招标报价采用总承包方式，投标人的报价应包括所投产品费用、安装费、测试验收费、运行维护费用、税金及其他有关的为完成本项目发生的所有费用，招标文件中另有规定的除外。</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w:t>
      </w:r>
      <w:r>
        <w:rPr>
          <w:rFonts w:hint="eastAsia" w:ascii="宋体" w:hAnsi="宋体" w:eastAsia="宋体" w:cs="宋体"/>
          <w:bCs/>
          <w:color w:val="000000" w:themeColor="text1"/>
          <w:szCs w:val="21"/>
          <w:highlight w:val="none"/>
          <w14:textFill>
            <w14:solidFill>
              <w14:schemeClr w14:val="tx1"/>
            </w14:solidFill>
          </w14:textFill>
        </w:rPr>
        <w:t>其它费用处理。招标文件未列明，而投标人认为必需的费用也需列入报价。</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12.5</w:t>
      </w:r>
      <w:r>
        <w:rPr>
          <w:rFonts w:hint="eastAsia" w:ascii="宋体" w:hAnsi="宋体" w:eastAsia="宋体" w:cs="宋体"/>
          <w:bCs/>
          <w:color w:val="000000" w:themeColor="text1"/>
          <w:szCs w:val="21"/>
          <w:highlight w:val="none"/>
          <w14:textFill>
            <w14:solidFill>
              <w14:schemeClr w14:val="tx1"/>
            </w14:solidFill>
          </w14:textFill>
        </w:rPr>
        <w:t>投标货币。投标文件中的货物单价和总价无特殊规定的采用人民币报价，以元为单位标注。</w:t>
      </w:r>
      <w:r>
        <w:rPr>
          <w:rFonts w:hint="eastAsia" w:ascii="宋体" w:hAnsi="宋体" w:eastAsia="宋体" w:cs="宋体"/>
          <w:color w:val="000000" w:themeColor="text1"/>
          <w:szCs w:val="21"/>
          <w:highlight w:val="none"/>
          <w14:textFill>
            <w14:solidFill>
              <w14:schemeClr w14:val="tx1"/>
            </w14:solidFill>
          </w14:textFill>
        </w:rPr>
        <w:t>招标文件中另有规定的按规定执行。</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12.6</w:t>
      </w:r>
      <w:r>
        <w:rPr>
          <w:rFonts w:hint="eastAsia" w:ascii="宋体" w:hAnsi="宋体" w:eastAsia="宋体" w:cs="宋体"/>
          <w:bCs/>
          <w:color w:val="000000" w:themeColor="text1"/>
          <w:szCs w:val="21"/>
          <w:highlight w:val="none"/>
          <w14:textFill>
            <w14:solidFill>
              <w14:schemeClr w14:val="tx1"/>
            </w14:solidFill>
          </w14:textFill>
        </w:rPr>
        <w:t xml:space="preserve"> 投标配置上的价格应按下列方式分开填写</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项目总价：包括</w:t>
      </w:r>
      <w:r>
        <w:rPr>
          <w:rFonts w:hint="eastAsia" w:ascii="宋体" w:hAnsi="宋体" w:eastAsia="宋体" w:cs="宋体"/>
          <w:bCs/>
          <w:color w:val="000000" w:themeColor="text1"/>
          <w:szCs w:val="21"/>
          <w:highlight w:val="none"/>
          <w14:textFill>
            <w14:solidFill>
              <w14:schemeClr w14:val="tx1"/>
            </w14:solidFill>
          </w14:textFill>
        </w:rPr>
        <w:t>采购人需求的货物价格</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质量保证费用及售后服务费用，项目在指定地点、环境交付、安装、验收所需费用和所有</w:t>
      </w:r>
      <w:r>
        <w:rPr>
          <w:rFonts w:hint="eastAsia" w:ascii="宋体" w:hAnsi="宋体" w:eastAsia="宋体" w:cs="宋体"/>
          <w:color w:val="000000" w:themeColor="text1"/>
          <w:szCs w:val="21"/>
          <w:highlight w:val="none"/>
          <w14:textFill>
            <w14:solidFill>
              <w14:schemeClr w14:val="tx1"/>
            </w14:solidFill>
          </w14:textFill>
        </w:rPr>
        <w:t>相关税金费用</w:t>
      </w:r>
      <w:r>
        <w:rPr>
          <w:rFonts w:hint="eastAsia" w:ascii="宋体" w:hAnsi="宋体" w:eastAsia="宋体" w:cs="宋体"/>
          <w:bCs/>
          <w:color w:val="000000" w:themeColor="text1"/>
          <w:szCs w:val="21"/>
          <w:highlight w:val="none"/>
          <w14:textFill>
            <w14:solidFill>
              <w14:schemeClr w14:val="tx1"/>
            </w14:solidFill>
          </w14:textFill>
        </w:rPr>
        <w:t>及为完成整个项目所产生的其它所有费用。</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(2)项目单价：按投标配置中要求填报。</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13、</w:t>
      </w:r>
      <w:r>
        <w:rPr>
          <w:rFonts w:hint="eastAsia" w:ascii="宋体" w:hAnsi="宋体" w:eastAsia="宋体" w:cs="宋体"/>
          <w:b/>
          <w:color w:val="000000" w:themeColor="text1"/>
          <w:szCs w:val="21"/>
          <w:highlight w:val="none"/>
          <w14:textFill>
            <w14:solidFill>
              <w14:schemeClr w14:val="tx1"/>
            </w14:solidFill>
          </w14:textFill>
        </w:rPr>
        <w:t>技术参数响应及偏离表、商务条款响应及偏离表及投标货物说明</w:t>
      </w:r>
    </w:p>
    <w:p>
      <w:pPr>
        <w:autoSpaceDE w:val="0"/>
        <w:autoSpaceDN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 提供参加本项目类似案例简介；</w:t>
      </w:r>
    </w:p>
    <w:p>
      <w:pPr>
        <w:tabs>
          <w:tab w:val="left" w:pos="1035"/>
        </w:tabs>
        <w:autoSpaceDE w:val="0"/>
        <w:autoSpaceDN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 培训计划；</w:t>
      </w:r>
    </w:p>
    <w:p>
      <w:pPr>
        <w:tabs>
          <w:tab w:val="left" w:pos="1035"/>
        </w:tabs>
        <w:autoSpaceDE w:val="0"/>
        <w:autoSpaceDN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13.4 详细阐述所投货物的主要组成部分、功能设计、实现思路及关键技术；</w:t>
      </w:r>
    </w:p>
    <w:p>
      <w:pPr>
        <w:tabs>
          <w:tab w:val="left" w:pos="1035"/>
        </w:tabs>
        <w:autoSpaceDE w:val="0"/>
        <w:autoSpaceDN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13.5 投标人认为需要的其他技术文件或说明。</w:t>
      </w:r>
    </w:p>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14、服务承诺及售后服务机构、人员的情况介绍</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14.1</w:t>
      </w:r>
      <w:r>
        <w:rPr>
          <w:rFonts w:hint="eastAsia" w:ascii="宋体" w:hAnsi="宋体" w:eastAsia="宋体" w:cs="宋体"/>
          <w:color w:val="000000" w:themeColor="text1"/>
          <w:szCs w:val="21"/>
          <w:highlight w:val="none"/>
          <w14:textFill>
            <w14:solidFill>
              <w14:schemeClr w14:val="tx1"/>
            </w14:solidFill>
          </w14:textFill>
        </w:rPr>
        <w:t>投标人的服务承诺应按不低于招标文件中商务要求的标准。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14.2</w:t>
      </w:r>
      <w:r>
        <w:rPr>
          <w:rFonts w:hint="eastAsia" w:ascii="宋体" w:hAnsi="宋体" w:eastAsia="宋体" w:cs="宋体"/>
          <w:color w:val="000000" w:themeColor="text1"/>
          <w:szCs w:val="21"/>
          <w:highlight w:val="none"/>
          <w14:textFill>
            <w14:solidFill>
              <w14:schemeClr w14:val="tx1"/>
            </w14:solidFill>
          </w14:textFill>
        </w:rPr>
        <w:t>提供投标人有关售后服务的管理制度、售后服务机构的分布情况、售后服务人员的数量、素质、技术水平及售后服务的反应能力。</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81" w:name="_Toc49090510"/>
      <w:bookmarkStart w:id="82" w:name="_Toc14577359"/>
      <w:r>
        <w:rPr>
          <w:rFonts w:hint="eastAsia" w:ascii="宋体" w:hAnsi="宋体" w:eastAsia="宋体" w:cs="宋体"/>
          <w:b/>
          <w:color w:val="000000" w:themeColor="text1"/>
          <w:szCs w:val="21"/>
          <w:highlight w:val="none"/>
          <w14:textFill>
            <w14:solidFill>
              <w14:schemeClr w14:val="tx1"/>
            </w14:solidFill>
          </w14:textFill>
        </w:rPr>
        <w:t>15、投标函和开标一览表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15.1</w:t>
      </w:r>
      <w:r>
        <w:rPr>
          <w:rFonts w:hint="eastAsia" w:ascii="宋体" w:hAnsi="宋体" w:eastAsia="宋体" w:cs="宋体"/>
          <w:color w:val="000000" w:themeColor="text1"/>
          <w:szCs w:val="21"/>
          <w:highlight w:val="none"/>
          <w14:textFill>
            <w14:solidFill>
              <w14:schemeClr w14:val="tx1"/>
            </w14:solidFill>
          </w14:textFill>
        </w:rPr>
        <w:t xml:space="preserve"> 投标人应按照招标文件中提供的格式完整、正确填写投标函、开标一览表。</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15.2</w:t>
      </w:r>
      <w:r>
        <w:rPr>
          <w:rFonts w:hint="eastAsia" w:ascii="宋体" w:hAnsi="宋体" w:eastAsia="宋体" w:cs="宋体"/>
          <w:color w:val="000000" w:themeColor="text1"/>
          <w:szCs w:val="21"/>
          <w:highlight w:val="none"/>
          <w14:textFill>
            <w14:solidFill>
              <w14:schemeClr w14:val="tx1"/>
            </w14:solidFill>
          </w14:textFill>
        </w:rPr>
        <w:t xml:space="preserve"> 开标一览表中的价格应与投标文件中投标配置的价格一致，如不一致，不作为无效投标处理，但评标时按开标一览表中价格为准。</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16、投标保证金</w:t>
      </w:r>
      <w:bookmarkEnd w:id="81"/>
      <w:bookmarkEnd w:id="82"/>
    </w:p>
    <w:p>
      <w:pPr>
        <w:spacing w:line="360" w:lineRule="auto"/>
        <w:ind w:firstLine="420" w:firstLineChars="200"/>
        <w:rPr>
          <w:rFonts w:hint="eastAsia" w:ascii="宋体" w:hAnsi="宋体" w:eastAsia="宋体" w:cs="宋体"/>
          <w:bCs/>
          <w:color w:val="000000" w:themeColor="text1"/>
          <w:szCs w:val="21"/>
          <w:highlight w:val="none"/>
          <w:shd w:val="clear" w:color="auto" w:fill="FFC000"/>
          <w14:textFill>
            <w14:solidFill>
              <w14:schemeClr w14:val="tx1"/>
            </w14:solidFill>
          </w14:textFill>
        </w:rPr>
      </w:pPr>
      <w:bookmarkStart w:id="83" w:name="_Toc49090511"/>
      <w:bookmarkStart w:id="84" w:name="_Toc14577360"/>
      <w:r>
        <w:rPr>
          <w:rFonts w:hint="eastAsia" w:ascii="宋体" w:hAnsi="宋体" w:eastAsia="宋体" w:cs="宋体"/>
          <w:bCs/>
          <w:color w:val="000000" w:themeColor="text1"/>
          <w:szCs w:val="21"/>
          <w:highlight w:val="none"/>
          <w14:textFill>
            <w14:solidFill>
              <w14:schemeClr w14:val="tx1"/>
            </w14:solidFill>
          </w14:textFill>
        </w:rPr>
        <w:t>本项目无须缴纳投标保证金。</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17、投标有效期</w:t>
      </w:r>
      <w:bookmarkEnd w:id="83"/>
      <w:bookmarkEnd w:id="84"/>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r>
        <w:rPr>
          <w:rFonts w:hint="eastAsia" w:ascii="宋体" w:hAnsi="宋体" w:eastAsia="宋体" w:cs="宋体"/>
          <w:bCs/>
          <w:color w:val="000000" w:themeColor="text1"/>
          <w:szCs w:val="21"/>
          <w:highlight w:val="none"/>
          <w14:textFill>
            <w14:solidFill>
              <w14:schemeClr w14:val="tx1"/>
            </w14:solidFill>
          </w14:textFill>
        </w:rPr>
        <w:t xml:space="preserve"> 投标有效期为代理机构规定的开标之日起</w:t>
      </w:r>
      <w:r>
        <w:rPr>
          <w:rFonts w:hint="eastAsia" w:ascii="宋体" w:hAnsi="宋体" w:eastAsia="宋体" w:cs="宋体"/>
          <w:b/>
          <w:color w:val="000000" w:themeColor="text1"/>
          <w:szCs w:val="21"/>
          <w:highlight w:val="none"/>
          <w:u w:val="single"/>
          <w14:textFill>
            <w14:solidFill>
              <w14:schemeClr w14:val="tx1"/>
            </w14:solidFill>
          </w14:textFill>
        </w:rPr>
        <w:t>六十（60）天</w:t>
      </w:r>
      <w:r>
        <w:rPr>
          <w:rFonts w:hint="eastAsia" w:ascii="宋体" w:hAnsi="宋体" w:eastAsia="宋体" w:cs="宋体"/>
          <w:bCs/>
          <w:color w:val="000000" w:themeColor="text1"/>
          <w:szCs w:val="21"/>
          <w:highlight w:val="none"/>
          <w14:textFill>
            <w14:solidFill>
              <w14:schemeClr w14:val="tx1"/>
            </w14:solidFill>
          </w14:textFill>
        </w:rPr>
        <w:t>。投标有效期比规定短的将被视为非响应性投标而予以拒绝。</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w:t>
      </w:r>
      <w:r>
        <w:rPr>
          <w:rFonts w:hint="eastAsia" w:ascii="宋体" w:hAnsi="宋体" w:eastAsia="宋体" w:cs="宋体"/>
          <w:bCs/>
          <w:color w:val="000000" w:themeColor="text1"/>
          <w:szCs w:val="21"/>
          <w:highlight w:val="none"/>
          <w14:textFill>
            <w14:solidFill>
              <w14:schemeClr w14:val="tx1"/>
            </w14:solidFill>
          </w14:textFill>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color w:val="000000" w:themeColor="text1"/>
          <w:szCs w:val="21"/>
          <w:highlight w:val="none"/>
          <w14:textFill>
            <w14:solidFill>
              <w14:schemeClr w14:val="tx1"/>
            </w14:solidFill>
          </w14:textFill>
        </w:rPr>
        <w:t>同时受投标有效期约束的所有权利与义务均延长至新的有效期</w:t>
      </w:r>
      <w:r>
        <w:rPr>
          <w:rFonts w:hint="eastAsia" w:ascii="宋体" w:hAnsi="宋体" w:eastAsia="宋体" w:cs="宋体"/>
          <w:bCs/>
          <w:color w:val="000000" w:themeColor="text1"/>
          <w:szCs w:val="21"/>
          <w:highlight w:val="none"/>
          <w14:textFill>
            <w14:solidFill>
              <w14:schemeClr w14:val="tx1"/>
            </w14:solidFill>
          </w14:textFill>
        </w:rPr>
        <w:t>。</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85" w:name="_Toc49090512"/>
      <w:bookmarkStart w:id="86" w:name="_Toc14577361"/>
      <w:r>
        <w:rPr>
          <w:rFonts w:hint="eastAsia" w:ascii="宋体" w:hAnsi="宋体" w:eastAsia="宋体" w:cs="宋体"/>
          <w:b/>
          <w:color w:val="000000" w:themeColor="text1"/>
          <w:szCs w:val="21"/>
          <w:highlight w:val="none"/>
          <w14:textFill>
            <w14:solidFill>
              <w14:schemeClr w14:val="tx1"/>
            </w14:solidFill>
          </w14:textFill>
        </w:rPr>
        <w:t>18、投标文件份数和签署</w:t>
      </w:r>
      <w:bookmarkEnd w:id="85"/>
      <w:bookmarkEnd w:id="86"/>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r>
        <w:rPr>
          <w:rFonts w:hint="eastAsia" w:ascii="宋体" w:hAnsi="宋体" w:eastAsia="宋体" w:cs="宋体"/>
          <w:bCs/>
          <w:color w:val="000000" w:themeColor="text1"/>
          <w:szCs w:val="21"/>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w:t>
      </w:r>
      <w:r>
        <w:rPr>
          <w:rFonts w:hint="eastAsia" w:ascii="宋体" w:hAnsi="宋体" w:eastAsia="宋体" w:cs="宋体"/>
          <w:bCs/>
          <w:color w:val="000000" w:themeColor="text1"/>
          <w:szCs w:val="21"/>
          <w:highlight w:val="none"/>
          <w14:textFill>
            <w14:solidFill>
              <w14:schemeClr w14:val="tx1"/>
            </w14:solidFill>
          </w14:textFill>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87" w:name="_Toc16938541"/>
      <w:bookmarkStart w:id="88" w:name="_Toc20823297"/>
      <w:bookmarkStart w:id="89" w:name="_Toc513029225"/>
      <w:bookmarkStart w:id="90" w:name="_Toc462564084"/>
      <w:r>
        <w:rPr>
          <w:rFonts w:hint="eastAsia" w:ascii="宋体" w:hAnsi="宋体" w:eastAsia="宋体" w:cs="宋体"/>
          <w:b/>
          <w:color w:val="000000" w:themeColor="text1"/>
          <w:szCs w:val="21"/>
          <w:highlight w:val="none"/>
          <w14:textFill>
            <w14:solidFill>
              <w14:schemeClr w14:val="tx1"/>
            </w14:solidFill>
          </w14:textFill>
        </w:rPr>
        <w:t>19、投标文件的密封和标记</w:t>
      </w:r>
      <w:bookmarkEnd w:id="87"/>
      <w:bookmarkEnd w:id="88"/>
      <w:bookmarkEnd w:id="89"/>
      <w:bookmarkEnd w:id="90"/>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w:t>
      </w:r>
      <w:r>
        <w:rPr>
          <w:rFonts w:hint="eastAsia" w:ascii="宋体" w:hAnsi="宋体" w:eastAsia="宋体" w:cs="宋体"/>
          <w:bCs/>
          <w:color w:val="000000" w:themeColor="text1"/>
          <w:szCs w:val="21"/>
          <w:highlight w:val="none"/>
          <w14:textFill>
            <w14:solidFill>
              <w14:schemeClr w14:val="tx1"/>
            </w14:solidFill>
          </w14:textFill>
        </w:rPr>
        <w:t>投标人应将投标文件正本、所有副本密封，不论投标人中标与否，投标文件均不退回。</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w:t>
      </w:r>
      <w:r>
        <w:rPr>
          <w:rFonts w:hint="eastAsia" w:ascii="宋体" w:hAnsi="宋体" w:eastAsia="宋体" w:cs="宋体"/>
          <w:bCs/>
          <w:color w:val="000000" w:themeColor="text1"/>
          <w:szCs w:val="21"/>
          <w:highlight w:val="none"/>
          <w14:textFill>
            <w14:solidFill>
              <w14:schemeClr w14:val="tx1"/>
            </w14:solidFill>
          </w14:textFill>
        </w:rPr>
        <w:t xml:space="preserve"> 密封的投标文件应：</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19.2.1 注明投标人名称，如因标注不清而产生的后果由投标人自负。按招标公告中注明的地址送达；</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19.2.2注明投标项目名称、标书编号；</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19.2.3</w:t>
      </w:r>
      <w:r>
        <w:rPr>
          <w:rFonts w:hint="eastAsia" w:ascii="宋体" w:hAnsi="宋体" w:eastAsia="宋体" w:cs="宋体"/>
          <w:bCs/>
          <w:color w:val="000000" w:themeColor="text1"/>
          <w:szCs w:val="21"/>
          <w:highlight w:val="none"/>
          <w14:textFill>
            <w14:solidFill>
              <w14:schemeClr w14:val="tx1"/>
            </w14:solidFill>
          </w14:textFill>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91" w:name="_Toc16938542"/>
      <w:bookmarkStart w:id="92" w:name="_Toc20823298"/>
      <w:bookmarkStart w:id="93" w:name="_Toc513029226"/>
      <w:r>
        <w:rPr>
          <w:rFonts w:hint="eastAsia" w:ascii="宋体" w:hAnsi="宋体" w:eastAsia="宋体" w:cs="宋体"/>
          <w:b/>
          <w:color w:val="000000" w:themeColor="text1"/>
          <w:szCs w:val="21"/>
          <w:highlight w:val="none"/>
          <w14:textFill>
            <w14:solidFill>
              <w14:schemeClr w14:val="tx1"/>
            </w14:solidFill>
          </w14:textFill>
        </w:rPr>
        <w:t>20、投标截止日期</w:t>
      </w:r>
      <w:bookmarkEnd w:id="91"/>
      <w:bookmarkEnd w:id="92"/>
      <w:bookmarkEnd w:id="93"/>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r>
        <w:rPr>
          <w:rFonts w:hint="eastAsia" w:ascii="宋体" w:hAnsi="宋体" w:eastAsia="宋体" w:cs="宋体"/>
          <w:bCs/>
          <w:color w:val="000000" w:themeColor="text1"/>
          <w:szCs w:val="21"/>
          <w:highlight w:val="none"/>
          <w14:textFill>
            <w14:solidFill>
              <w14:schemeClr w14:val="tx1"/>
            </w14:solidFill>
          </w14:textFill>
        </w:rPr>
        <w:t xml:space="preserve"> 代理机构收到投标文件的时间不得迟于招标公告中规定的截止时间。</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bCs/>
          <w:color w:val="000000" w:themeColor="text1"/>
          <w:szCs w:val="21"/>
          <w:highlight w:val="none"/>
          <w14:textFill>
            <w14:solidFill>
              <w14:schemeClr w14:val="tx1"/>
            </w14:solidFill>
          </w14:textFill>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94" w:name="_Toc20823299"/>
      <w:bookmarkStart w:id="95" w:name="_Toc16938543"/>
      <w:bookmarkStart w:id="96" w:name="_Toc513029227"/>
      <w:r>
        <w:rPr>
          <w:rFonts w:hint="eastAsia" w:ascii="宋体" w:hAnsi="宋体" w:eastAsia="宋体" w:cs="宋体"/>
          <w:b/>
          <w:color w:val="000000" w:themeColor="text1"/>
          <w:szCs w:val="21"/>
          <w:highlight w:val="none"/>
          <w14:textFill>
            <w14:solidFill>
              <w14:schemeClr w14:val="tx1"/>
            </w14:solidFill>
          </w14:textFill>
        </w:rPr>
        <w:t>21、迟交的投标文件</w:t>
      </w:r>
      <w:bookmarkEnd w:id="94"/>
      <w:bookmarkEnd w:id="95"/>
      <w:bookmarkEnd w:id="96"/>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r>
        <w:rPr>
          <w:rFonts w:hint="eastAsia" w:ascii="宋体" w:hAnsi="宋体" w:eastAsia="宋体" w:cs="宋体"/>
          <w:bCs/>
          <w:color w:val="000000" w:themeColor="text1"/>
          <w:szCs w:val="21"/>
          <w:highlight w:val="none"/>
          <w14:textFill>
            <w14:solidFill>
              <w14:schemeClr w14:val="tx1"/>
            </w14:solidFill>
          </w14:textFill>
        </w:rPr>
        <w:t xml:space="preserve"> 代理机构拒绝接收在其规定的投标截止时间后递交的任何投标文件。</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97" w:name="_Toc16938544"/>
      <w:bookmarkStart w:id="98" w:name="_Toc20823300"/>
      <w:bookmarkStart w:id="99" w:name="_Toc513029228"/>
      <w:r>
        <w:rPr>
          <w:rFonts w:hint="eastAsia" w:ascii="宋体" w:hAnsi="宋体" w:eastAsia="宋体" w:cs="宋体"/>
          <w:b/>
          <w:color w:val="000000" w:themeColor="text1"/>
          <w:szCs w:val="21"/>
          <w:highlight w:val="none"/>
          <w14:textFill>
            <w14:solidFill>
              <w14:schemeClr w14:val="tx1"/>
            </w14:solidFill>
          </w14:textFill>
        </w:rPr>
        <w:t>22、投标文件的修改和撤回</w:t>
      </w:r>
      <w:bookmarkEnd w:id="97"/>
      <w:bookmarkEnd w:id="98"/>
      <w:bookmarkEnd w:id="99"/>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w:t>
      </w:r>
      <w:r>
        <w:rPr>
          <w:rFonts w:hint="eastAsia" w:ascii="宋体" w:hAnsi="宋体" w:eastAsia="宋体" w:cs="宋体"/>
          <w:bCs/>
          <w:color w:val="000000" w:themeColor="text1"/>
          <w:szCs w:val="21"/>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eastAsia="宋体" w:cs="宋体"/>
          <w:color w:val="000000" w:themeColor="text1"/>
          <w:szCs w:val="21"/>
          <w:highlight w:val="none"/>
          <w14:textFill>
            <w14:solidFill>
              <w14:schemeClr w14:val="tx1"/>
            </w14:solidFill>
          </w14:textFill>
        </w:rPr>
        <w:t>通知代理机构，否则，代理机构将拒绝。</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w:t>
      </w:r>
      <w:r>
        <w:rPr>
          <w:rFonts w:hint="eastAsia" w:ascii="宋体" w:hAnsi="宋体" w:eastAsia="宋体" w:cs="宋体"/>
          <w:bCs/>
          <w:color w:val="000000" w:themeColor="text1"/>
          <w:szCs w:val="21"/>
          <w:highlight w:val="none"/>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eastAsia="宋体" w:cs="宋体"/>
          <w:color w:val="000000" w:themeColor="text1"/>
          <w:szCs w:val="21"/>
          <w:highlight w:val="none"/>
          <w14:textFill>
            <w14:solidFill>
              <w14:schemeClr w14:val="tx1"/>
            </w14:solidFill>
          </w14:textFill>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w:t>
      </w:r>
      <w:r>
        <w:rPr>
          <w:rFonts w:hint="eastAsia" w:ascii="宋体" w:hAnsi="宋体" w:eastAsia="宋体" w:cs="宋体"/>
          <w:bCs/>
          <w:color w:val="000000" w:themeColor="text1"/>
          <w:szCs w:val="21"/>
          <w:highlight w:val="none"/>
          <w14:textFill>
            <w14:solidFill>
              <w14:schemeClr w14:val="tx1"/>
            </w14:solidFill>
          </w14:textFill>
        </w:rPr>
        <w:t xml:space="preserve"> 在投标截止时间之后，投标人不得对其投标文件作任何修改。</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w:t>
      </w:r>
      <w:r>
        <w:rPr>
          <w:rFonts w:hint="eastAsia" w:ascii="宋体" w:hAnsi="宋体" w:eastAsia="宋体" w:cs="宋体"/>
          <w:bCs/>
          <w:color w:val="000000" w:themeColor="text1"/>
          <w:szCs w:val="21"/>
          <w:highlight w:val="none"/>
          <w14:textFill>
            <w14:solidFill>
              <w14:schemeClr w14:val="tx1"/>
            </w14:solidFill>
          </w14:textFill>
        </w:rPr>
        <w:t xml:space="preserve"> 在投标截止时间至招标文件中规定的投标有效期满之间的这段时间内，投标人不得撤回其投标。</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100" w:name="_Toc20823302"/>
      <w:bookmarkStart w:id="101" w:name="_Toc513029230"/>
      <w:bookmarkStart w:id="102" w:name="_Toc16938546"/>
      <w:r>
        <w:rPr>
          <w:rFonts w:hint="eastAsia" w:ascii="宋体" w:hAnsi="宋体" w:eastAsia="宋体" w:cs="宋体"/>
          <w:b/>
          <w:color w:val="000000" w:themeColor="text1"/>
          <w:szCs w:val="21"/>
          <w:highlight w:val="none"/>
          <w14:textFill>
            <w14:solidFill>
              <w14:schemeClr w14:val="tx1"/>
            </w14:solidFill>
          </w14:textFill>
        </w:rPr>
        <w:t>23、开标</w:t>
      </w:r>
      <w:bookmarkEnd w:id="100"/>
      <w:bookmarkEnd w:id="101"/>
      <w:bookmarkEnd w:id="102"/>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23.1</w:t>
      </w:r>
      <w:r>
        <w:rPr>
          <w:rFonts w:hint="eastAsia" w:ascii="宋体" w:hAnsi="宋体" w:eastAsia="宋体" w:cs="宋体"/>
          <w:bCs/>
          <w:color w:val="000000" w:themeColor="text1"/>
          <w:szCs w:val="21"/>
          <w:highlight w:val="none"/>
          <w14:textFill>
            <w14:solidFill>
              <w14:schemeClr w14:val="tx1"/>
            </w14:solidFill>
          </w14:textFill>
        </w:rPr>
        <w:t xml:space="preserve"> 代理机构将在招标公告中规定的时间和地点组织公开开标</w:t>
      </w:r>
      <w:r>
        <w:rPr>
          <w:rFonts w:hint="eastAsia" w:ascii="宋体" w:hAnsi="宋体" w:eastAsia="宋体" w:cs="宋体"/>
          <w:color w:val="000000" w:themeColor="text1"/>
          <w:szCs w:val="21"/>
          <w:highlight w:val="none"/>
          <w14:textFill>
            <w14:solidFill>
              <w14:schemeClr w14:val="tx1"/>
            </w14:solidFill>
          </w14:textFill>
        </w:rPr>
        <w:t>。投标人应委派携带有效证件的代表准时参加，参加开标的代表需签名以证明其出席。投标人未参加开标的，视同认可开标结果。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23.2</w:t>
      </w:r>
      <w:r>
        <w:rPr>
          <w:rFonts w:hint="eastAsia" w:ascii="宋体" w:hAnsi="宋体" w:cs="宋体"/>
          <w:color w:val="000000" w:themeColor="text1"/>
          <w:szCs w:val="21"/>
          <w:highlight w:val="none"/>
          <w:lang w:eastAsia="zh-CN"/>
          <w14:textFill>
            <w14:solidFill>
              <w14:schemeClr w14:val="tx1"/>
            </w14:solidFill>
          </w14:textFill>
        </w:rPr>
        <w:t>开标仪式由代理机构组织</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23.3</w:t>
      </w:r>
      <w:r>
        <w:rPr>
          <w:rFonts w:hint="eastAsia" w:ascii="宋体" w:hAnsi="宋体" w:eastAsia="宋体" w:cs="宋体"/>
          <w:bCs/>
          <w:color w:val="000000" w:themeColor="text1"/>
          <w:szCs w:val="21"/>
          <w:highlight w:val="none"/>
          <w14:textFill>
            <w14:solidFill>
              <w14:schemeClr w14:val="tx1"/>
            </w14:solidFill>
          </w14:textFill>
        </w:rPr>
        <w:t>按照规定同意撤回的投标文件将不予开封。</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23.5 代理机构将指定专人负责开标记录并存档备查，各投标人需仔细核对开标纪录相关内容并签字确认。</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23.6 投标人在报价时不允许采用选择性报价，否则将被视为无效投标。</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103" w:name="_Toc16938547"/>
      <w:bookmarkStart w:id="104" w:name="_Toc20823303"/>
      <w:bookmarkStart w:id="105" w:name="_Toc513029231"/>
      <w:r>
        <w:rPr>
          <w:rFonts w:hint="eastAsia" w:ascii="宋体" w:hAnsi="宋体" w:eastAsia="宋体" w:cs="宋体"/>
          <w:b/>
          <w:color w:val="000000" w:themeColor="text1"/>
          <w:szCs w:val="21"/>
          <w:highlight w:val="none"/>
          <w14:textFill>
            <w14:solidFill>
              <w14:schemeClr w14:val="tx1"/>
            </w14:solidFill>
          </w14:textFill>
        </w:rPr>
        <w:t>24、评标委员会</w:t>
      </w:r>
    </w:p>
    <w:p>
      <w:pPr>
        <w:spacing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24.1开标后，代理机构将立即组织评标委员会（以下简称评委会）进行评标。</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24.2 </w:t>
      </w:r>
      <w:r>
        <w:rPr>
          <w:rFonts w:hint="eastAsia" w:ascii="宋体" w:hAnsi="宋体" w:cs="宋体"/>
          <w:color w:val="000000" w:themeColor="text1"/>
          <w:szCs w:val="21"/>
          <w:highlight w:val="none"/>
          <w:lang w:eastAsia="zh-CN"/>
          <w14:textFill>
            <w14:solidFill>
              <w14:schemeClr w14:val="tx1"/>
            </w14:solidFill>
          </w14:textFill>
        </w:rPr>
        <w:t>评委会构成符合有关规定</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24.3评委会独立工作，负责评审所有投标文件并确定中标候选人。</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25、评标过程的保密与公正</w:t>
      </w:r>
    </w:p>
    <w:bookmarkEnd w:id="103"/>
    <w:bookmarkEnd w:id="104"/>
    <w:bookmarkEnd w:id="105"/>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w:t>
      </w:r>
      <w:r>
        <w:rPr>
          <w:rFonts w:hint="eastAsia" w:ascii="宋体" w:hAnsi="宋体" w:eastAsia="宋体" w:cs="宋体"/>
          <w:bCs/>
          <w:color w:val="000000" w:themeColor="text1"/>
          <w:szCs w:val="21"/>
          <w:highlight w:val="none"/>
          <w14:textFill>
            <w14:solidFill>
              <w14:schemeClr w14:val="tx1"/>
            </w14:solidFill>
          </w14:textFill>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25.2在评标过程中，投标人不得以任何行为影响评标过程，否则其投标文件将被作为无效投标文件。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25.3 在评标期间，代理机构将设专门工作人员与投标人联系。</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25.4 代理机构和评委会不向落标的投标人解释未中标原因，也不公布评标过程中的相关细节。</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106" w:name="_Toc20823304"/>
      <w:bookmarkStart w:id="107" w:name="_Toc513029232"/>
      <w:bookmarkStart w:id="108" w:name="_Toc16938548"/>
      <w:r>
        <w:rPr>
          <w:rFonts w:hint="eastAsia" w:ascii="宋体" w:hAnsi="宋体" w:eastAsia="宋体" w:cs="宋体"/>
          <w:b/>
          <w:color w:val="000000" w:themeColor="text1"/>
          <w:szCs w:val="21"/>
          <w:highlight w:val="none"/>
          <w14:textFill>
            <w14:solidFill>
              <w14:schemeClr w14:val="tx1"/>
            </w14:solidFill>
          </w14:textFill>
        </w:rPr>
        <w:t>26、投标的澄清</w:t>
      </w:r>
      <w:bookmarkEnd w:id="106"/>
      <w:bookmarkEnd w:id="107"/>
      <w:bookmarkEnd w:id="108"/>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 接到评委会澄清要求的投标人如未按规定做出澄清，其风险由投标人自行承担。</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109" w:name="_Toc20823305"/>
      <w:bookmarkStart w:id="110" w:name="_Toc16938549"/>
      <w:bookmarkStart w:id="111" w:name="_Toc513029233"/>
      <w:r>
        <w:rPr>
          <w:rFonts w:hint="eastAsia" w:ascii="宋体" w:hAnsi="宋体" w:eastAsia="宋体" w:cs="宋体"/>
          <w:b/>
          <w:color w:val="000000" w:themeColor="text1"/>
          <w:szCs w:val="21"/>
          <w:highlight w:val="none"/>
          <w14:textFill>
            <w14:solidFill>
              <w14:schemeClr w14:val="tx1"/>
            </w14:solidFill>
          </w14:textFill>
        </w:rPr>
        <w:t>27、对投标文件的初审</w:t>
      </w:r>
      <w:bookmarkEnd w:id="109"/>
      <w:bookmarkEnd w:id="110"/>
      <w:bookmarkEnd w:id="111"/>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w:t>
      </w:r>
      <w:r>
        <w:rPr>
          <w:rFonts w:hint="eastAsia" w:ascii="宋体" w:hAnsi="宋体" w:eastAsia="宋体" w:cs="宋体"/>
          <w:bCs/>
          <w:color w:val="000000" w:themeColor="text1"/>
          <w:szCs w:val="21"/>
          <w:highlight w:val="none"/>
          <w14:textFill>
            <w14:solidFill>
              <w14:schemeClr w14:val="tx1"/>
            </w14:solidFill>
          </w14:textFill>
        </w:rPr>
        <w:t>投标文件初审分为资格检查和符合性检查。</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27.1.1</w:t>
      </w:r>
      <w:r>
        <w:rPr>
          <w:rFonts w:hint="eastAsia" w:ascii="宋体" w:hAnsi="宋体" w:eastAsia="宋体" w:cs="宋体"/>
          <w:bCs/>
          <w:color w:val="000000" w:themeColor="text1"/>
          <w:szCs w:val="21"/>
          <w:highlight w:val="none"/>
          <w14:textFill>
            <w14:solidFill>
              <w14:schemeClr w14:val="tx1"/>
            </w14:solidFill>
          </w14:textFill>
        </w:rPr>
        <w:t>资格审查：依据法律法规和招标文件的规定，</w:t>
      </w:r>
      <w:r>
        <w:rPr>
          <w:rFonts w:hint="eastAsia" w:ascii="宋体" w:hAnsi="宋体" w:cs="宋体"/>
          <w:bCs/>
          <w:color w:val="000000" w:themeColor="text1"/>
          <w:szCs w:val="21"/>
          <w:highlight w:val="none"/>
          <w:lang w:eastAsia="zh-CN"/>
          <w14:textFill>
            <w14:solidFill>
              <w14:schemeClr w14:val="tx1"/>
            </w14:solidFill>
          </w14:textFill>
        </w:rPr>
        <w:t>对投标文件中的资信证明文件进行审查</w:t>
      </w:r>
      <w:r>
        <w:rPr>
          <w:rFonts w:hint="eastAsia" w:ascii="宋体" w:hAnsi="宋体" w:eastAsia="宋体" w:cs="宋体"/>
          <w:bCs/>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27.1.2</w:t>
      </w:r>
      <w:r>
        <w:rPr>
          <w:rFonts w:hint="eastAsia" w:ascii="宋体" w:hAnsi="宋体" w:eastAsia="宋体" w:cs="宋体"/>
          <w:bCs/>
          <w:color w:val="000000" w:themeColor="text1"/>
          <w:szCs w:val="21"/>
          <w:highlight w:val="none"/>
          <w14:textFill>
            <w14:solidFill>
              <w14:schemeClr w14:val="tx1"/>
            </w14:solidFill>
          </w14:textFill>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color w:val="000000" w:themeColor="text1"/>
          <w:szCs w:val="21"/>
          <w:highlight w:val="none"/>
          <w14:textFill>
            <w14:solidFill>
              <w14:schemeClr w14:val="tx1"/>
            </w14:solidFill>
          </w14:textFill>
        </w:rPr>
        <w:t>评委决定投标文件的响应性只根据投标文件本身的内容，而不寻求外部的证据。</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w:t>
      </w:r>
      <w:r>
        <w:rPr>
          <w:rFonts w:hint="eastAsia" w:ascii="宋体" w:hAnsi="宋体" w:eastAsia="宋体" w:cs="宋体"/>
          <w:bCs/>
          <w:color w:val="000000" w:themeColor="text1"/>
          <w:szCs w:val="21"/>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27.4</w:t>
      </w:r>
      <w:r>
        <w:rPr>
          <w:rFonts w:hint="eastAsia" w:ascii="宋体" w:hAnsi="宋体" w:eastAsia="宋体" w:cs="宋体"/>
          <w:bCs/>
          <w:color w:val="000000" w:themeColor="text1"/>
          <w:szCs w:val="21"/>
          <w:highlight w:val="none"/>
          <w14:textFill>
            <w14:solidFill>
              <w14:schemeClr w14:val="tx1"/>
            </w14:solidFill>
          </w14:textFill>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（1）投标文件中开标一览表内容与投标文件中相应内容不一致的，以开标一览表为准。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（2）投标文件、“开标一览表”中报价的大写金额与小写金额不一致的，以大写金额为准。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（3）单价金额小数点或者百分比有明显错位的，以开标一览表的总价为准，并修改单价。</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（4）总价金额与按单价汇总金额不一致的，以单价金额计算结果为准。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同时出现两种以上错误的，按照前款规定的顺序修正。对不同文字文本投标文件的解释发生异议的，以中文文本为准。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27.5</w:t>
      </w:r>
      <w:r>
        <w:rPr>
          <w:rFonts w:hint="eastAsia" w:ascii="宋体" w:hAnsi="宋体" w:eastAsia="宋体" w:cs="宋体"/>
          <w:bCs/>
          <w:color w:val="000000" w:themeColor="text1"/>
          <w:szCs w:val="21"/>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27.6</w:t>
      </w:r>
      <w:r>
        <w:rPr>
          <w:rFonts w:hint="eastAsia" w:ascii="宋体" w:hAnsi="宋体" w:eastAsia="宋体" w:cs="宋体"/>
          <w:bCs/>
          <w:color w:val="000000" w:themeColor="text1"/>
          <w:szCs w:val="21"/>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非单一产品采购项目，招标文件中将载明其中的核心产品。多家投标人提供的核心产品品牌相同的，按前两款规定处理。</w:t>
      </w:r>
    </w:p>
    <w:p>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112" w:name="_Toc513029234"/>
      <w:bookmarkStart w:id="113" w:name="_Toc16938550"/>
      <w:bookmarkStart w:id="114" w:name="_Toc20823306"/>
      <w:r>
        <w:rPr>
          <w:rFonts w:hint="eastAsia" w:ascii="宋体" w:hAnsi="宋体" w:eastAsia="宋体" w:cs="宋体"/>
          <w:b/>
          <w:color w:val="000000" w:themeColor="text1"/>
          <w:szCs w:val="21"/>
          <w:highlight w:val="none"/>
          <w14:textFill>
            <w14:solidFill>
              <w14:schemeClr w14:val="tx1"/>
            </w14:solidFill>
          </w14:textFill>
        </w:rPr>
        <w:t>28、</w:t>
      </w:r>
      <w:bookmarkEnd w:id="112"/>
      <w:bookmarkEnd w:id="113"/>
      <w:bookmarkEnd w:id="114"/>
      <w:r>
        <w:rPr>
          <w:rFonts w:hint="eastAsia" w:ascii="宋体" w:hAnsi="宋体" w:eastAsia="宋体" w:cs="宋体"/>
          <w:b/>
          <w:color w:val="000000" w:themeColor="text1"/>
          <w:szCs w:val="21"/>
          <w:highlight w:val="none"/>
          <w14:textFill>
            <w14:solidFill>
              <w14:schemeClr w14:val="tx1"/>
            </w14:solidFill>
          </w14:textFill>
        </w:rPr>
        <w:t>无效投标、废标及投标人不足三家的处理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bookmarkStart w:id="115" w:name="_Toc16938551"/>
      <w:bookmarkStart w:id="116" w:name="_Toc513029235"/>
      <w:bookmarkStart w:id="117" w:name="_Toc20823307"/>
      <w:r>
        <w:rPr>
          <w:rFonts w:hint="eastAsia" w:ascii="宋体" w:hAnsi="宋体" w:eastAsia="宋体" w:cs="宋体"/>
          <w:bCs/>
          <w:color w:val="000000" w:themeColor="text1"/>
          <w:szCs w:val="21"/>
          <w:highlight w:val="none"/>
          <w14:textFill>
            <w14:solidFill>
              <w14:schemeClr w14:val="tx1"/>
            </w14:solidFill>
          </w14:textFill>
        </w:rPr>
        <w:t>28.1无效投标条款：</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28.1.1未按照招标文件规定要求密封、签署、盖章的；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28.1.2投标人在报价时采用选择性报价；</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28.1.3投标人不具备招标文件中规定资格要求的；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28.1.4投标人的报价超过了采购预算或最高限价的；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28.1.5未通过符合性检查的；</w:t>
      </w:r>
    </w:p>
    <w:bookmarkEnd w:id="115"/>
    <w:bookmarkEnd w:id="116"/>
    <w:bookmarkEnd w:id="117"/>
    <w:p>
      <w:pPr>
        <w:spacing w:line="360" w:lineRule="auto"/>
        <w:ind w:firstLine="420" w:firstLineChars="200"/>
        <w:rPr>
          <w:rFonts w:hint="eastAsia" w:ascii="宋体" w:hAnsi="宋体" w:eastAsia="宋体" w:cs="宋体"/>
          <w:bCs/>
          <w:color w:val="000000" w:themeColor="text1"/>
          <w:szCs w:val="21"/>
          <w:highlight w:val="none"/>
          <w:u w:val="single"/>
          <w14:textFill>
            <w14:solidFill>
              <w14:schemeClr w14:val="tx1"/>
            </w14:solidFill>
          </w14:textFill>
        </w:rPr>
      </w:pPr>
      <w:bookmarkStart w:id="118" w:name="_Toc513029238"/>
      <w:bookmarkStart w:id="119" w:name="_Toc20823310"/>
      <w:bookmarkStart w:id="120" w:name="_Toc16938554"/>
      <w:r>
        <w:rPr>
          <w:rFonts w:hint="eastAsia" w:ascii="宋体" w:hAnsi="宋体" w:eastAsia="宋体" w:cs="宋体"/>
          <w:bCs/>
          <w:color w:val="000000" w:themeColor="text1"/>
          <w:szCs w:val="21"/>
          <w:highlight w:val="none"/>
          <w14:textFill>
            <w14:solidFill>
              <w14:schemeClr w14:val="tx1"/>
            </w14:solidFill>
          </w14:textFill>
        </w:rPr>
        <w:t>28.1.6不符合招标文件中规定的其他实质性要求和条件的</w:t>
      </w:r>
      <w:r>
        <w:rPr>
          <w:rFonts w:hint="eastAsia" w:ascii="宋体" w:hAnsi="宋体" w:eastAsia="宋体" w:cs="宋体"/>
          <w:bCs/>
          <w:i/>
          <w:color w:val="000000" w:themeColor="text1"/>
          <w:szCs w:val="21"/>
          <w:highlight w:val="none"/>
          <w:u w:val="single"/>
          <w14:textFill>
            <w14:solidFill>
              <w14:schemeClr w14:val="tx1"/>
            </w14:solidFill>
          </w14:textFill>
        </w:rPr>
        <w:t>（本招标文件中斜体且有下划线部分为实质性要求和条件，包括但不限于该范围）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28.1.7投标人被 “信用中国”网站（www.creditchina.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28.1.8 投标文件含有采购人不能接受的附加条件的； </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28.1.10其他法律、法规及本招标文件规定的属无效投标的情形。</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28.2废标条款：                                                                                                                                                                                                                                                                                                                                                                                                                                                                                                                                                                                                                                                                                                                                                                                                                                                                                                                                                                                                                                                                                                                                                                                                                                                                                                                                                                                                                                                                         </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28.2.1符合专业条件的供应商或者对招标文件作实质响应的供应商不足三家的；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28.2.2投标人的报价均超过采购预算或最高限价；</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28.2.3出现影响采购公正的违法、违规行为的；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28.2.4因重大变故，采购任务取消的；</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28.2.5评标委员会认定招标文件存在歧义、 重大缺陷导致评审工作无法进行。</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28.3.1招标文件存在不合理条款或者招标程序不符合规定的，由采购人、代理机构改正后依法重新招标。</w:t>
      </w:r>
    </w:p>
    <w:bookmarkEnd w:id="118"/>
    <w:bookmarkEnd w:id="119"/>
    <w:bookmarkEnd w:id="120"/>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29、确定中标单位</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29.1评委会根据本招标文件规定评标方法与评标标准向采购人推荐出中标候选人。</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29.2 采购人应根据评委会推荐的中标候选人确定中标人。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29.3</w:t>
      </w:r>
      <w:r>
        <w:rPr>
          <w:rFonts w:hint="eastAsia" w:ascii="宋体" w:hAnsi="宋体" w:eastAsia="宋体" w:cs="宋体"/>
          <w:color w:val="000000" w:themeColor="text1"/>
          <w:szCs w:val="21"/>
          <w:highlight w:val="none"/>
          <w14:textFill>
            <w14:solidFill>
              <w14:schemeClr w14:val="tx1"/>
            </w14:solidFill>
          </w14:textFill>
        </w:rPr>
        <w:t>代理机构将在“</w:t>
      </w:r>
      <w:r>
        <w:rPr>
          <w:rFonts w:hint="eastAsia" w:ascii="宋体" w:hAnsi="宋体" w:cs="宋体"/>
          <w:color w:val="000000" w:themeColor="text1"/>
          <w:highlight w:val="none"/>
          <w:lang w:eastAsia="zh-CN"/>
          <w14:textFill>
            <w14:solidFill>
              <w14:schemeClr w14:val="tx1"/>
            </w14:solidFill>
          </w14:textFill>
        </w:rPr>
        <w:t>扬州维扬发展投资有限公司网站、江苏省招标投标公共服务平台</w:t>
      </w:r>
      <w:r>
        <w:rPr>
          <w:rFonts w:hint="eastAsia" w:ascii="宋体" w:hAnsi="宋体" w:eastAsia="宋体" w:cs="宋体"/>
          <w:color w:val="000000" w:themeColor="text1"/>
          <w:szCs w:val="21"/>
          <w:highlight w:val="none"/>
          <w14:textFill>
            <w14:solidFill>
              <w14:schemeClr w14:val="tx1"/>
            </w14:solidFill>
          </w14:textFill>
        </w:rPr>
        <w:t>”发布中标公告，公告期限为1个工作日。</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29.4若有充分证据证明，中标人出现下列情况之一的，一经查实，将被取消中标资格：</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29.4.1提供虚假材料谋取中标的；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29.4.2向采购人、代理机构行贿或者提供其他不正当利益的；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29.4.3恶意竞争，投标总报价明显低于其自身合理成本且又无法提供证明的；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29.4.4属于本文件规定的无效条件，但在评标过程中又未被评委会发现的；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29.4.5与采购人或者其他投标人串通投标的；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29.4.6采取不正当手段诋毁、排挤其他供应商的；</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29.4.7不符合法律、法规的规定的。</w:t>
      </w:r>
      <w:bookmarkStart w:id="121" w:name="_Toc200451960"/>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 有下列情形之一的，视为投标人串通投标，投标无效：</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29.5.1不同投标人的投标文件由同一单位或者个人编制。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29.5.2不同投标人委托同一单位或者个人办理投标事宜。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29.5.3 不同投标人的投标文件载明的项目管理成员或者联系人员为同一人。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29.5.4不同投标人的投标文件异常一致或者投标报价呈规律性差异。</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29.5.5不同投标人的投标文件相互混装。</w:t>
      </w:r>
    </w:p>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30、质疑处理</w:t>
      </w:r>
      <w:bookmarkEnd w:id="121"/>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30.1.1对可以质疑的采购文件提出质疑的，为收到采购文件之日或者采购文件公告期限届满之日；</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30.1.2对采购过程提出质疑的，为各采购程序环节结束之日；</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30.1.3对中标结果提出质疑的，为中标结果公告期限届满之日。</w:t>
      </w:r>
    </w:p>
    <w:p>
      <w:pPr>
        <w:spacing w:line="360" w:lineRule="auto"/>
        <w:ind w:firstLine="420" w:firstLineChars="200"/>
        <w:rPr>
          <w:rFonts w:hint="eastAsia"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30.2</w:t>
      </w:r>
      <w:r>
        <w:rPr>
          <w:rFonts w:hint="eastAsia" w:ascii="宋体" w:hAnsi="宋体" w:cs="宋体"/>
          <w:color w:val="000000" w:themeColor="text1"/>
          <w:szCs w:val="21"/>
          <w:highlight w:val="none"/>
          <w:lang w:eastAsia="zh-CN"/>
          <w14:textFill>
            <w14:solidFill>
              <w14:schemeClr w14:val="tx1"/>
            </w14:solidFill>
          </w14:textFill>
        </w:rPr>
        <w:t>质疑必须按相关规定提交，未按要求提交的质疑函（含传真、电子邮件等）代理机构有权不予受理</w:t>
      </w:r>
      <w:r>
        <w:rPr>
          <w:rFonts w:hint="eastAsia" w:ascii="宋体" w:hAnsi="宋体" w:eastAsia="宋体" w:cs="宋体"/>
          <w:color w:val="000000" w:themeColor="text1"/>
          <w:spacing w:val="-20"/>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30.3未参加投标活动的供应商或在投标活动中自身权益未受到损害的供应商所提出的质疑不予受理。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30.4质疑申请应当包括下列内容：</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30.4.1质疑投标人的名称、地址、邮编、联系人、联系电话；</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30.4.2具体的质疑事项及明确的请求；</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30.4.3认为自己合法权益受到损害或可能受到损害的相关证据材料；</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30.4.4提起质疑的日期；</w:t>
      </w:r>
    </w:p>
    <w:p>
      <w:pPr>
        <w:spacing w:line="360" w:lineRule="auto"/>
        <w:ind w:firstLine="420" w:firstLineChars="200"/>
        <w:rPr>
          <w:rFonts w:hint="eastAsia" w:ascii="宋体" w:hAnsi="宋体" w:eastAsia="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color w:val="000000" w:themeColor="text1"/>
          <w:szCs w:val="21"/>
          <w:highlight w:val="none"/>
          <w14:textFill>
            <w14:solidFill>
              <w14:schemeClr w14:val="tx1"/>
            </w14:solidFill>
          </w14:textFill>
        </w:rPr>
        <w:t>《质疑申请书》及《授权委托书》格式见网址：http://zfcg.yangzhou.gov.cn/。</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30.5代理机构收到质疑申请后，将对质疑的形式和内容进行审查，如质疑内容、格式不符合规定，代理机构将告知质疑人进行补正。</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 诚实信用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30.8.1 投标人之间不得相互串通投标报价，不得妨碍其他投标人的公平竞争，不得损害采购人和其他投标人的合法权益；</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30.8.2 投标人不得以向代理机构工作人员、评标委员会成员行贿或者采取其他不正当手段谋取中标。经查实投标人有此行为的，</w:t>
      </w:r>
      <w:r>
        <w:rPr>
          <w:rFonts w:hint="eastAsia" w:ascii="宋体" w:hAnsi="宋体" w:cs="宋体"/>
          <w:color w:val="000000" w:themeColor="text1"/>
          <w:szCs w:val="21"/>
          <w:highlight w:val="none"/>
          <w:lang w:eastAsia="zh-CN"/>
          <w14:textFill>
            <w14:solidFill>
              <w14:schemeClr w14:val="tx1"/>
            </w14:solidFill>
          </w14:textFill>
        </w:rPr>
        <w:t>将投标人列入不良行为记录名单，按照有关规定处理</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30.8.3 投标人提出书面质疑必须有理、有据，不得虚假质疑和恶意质疑，并对质疑内容的真实性承担责任。一经查实，代理机构有权依据的有关规定，报请监管部门对该投标人进行相应的行政处罚并在网站上予以公示。如果投标人或者其他利害关系人通过捏造事实、伪造证明材料等方式提出质疑，干扰</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活动正常进行的，属于严重不良行为，代理机构将提请监管部门将其列入不良行为记录名单，并依法予以处罚；</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30.8.4 投标人不得虚假承诺，否则，按照提供虚假材料谋取中标成交处理；</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30.8.5 投标人应自觉遵守开标、评标纪律，扰乱开标评标现场秩序的，属于失信行为，失信行为将被记入投标人诚信档案。</w:t>
      </w:r>
    </w:p>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31、中标通知书</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31.l中标结果确定后，代理机构将向中标供应商发出中标通知书。</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 中标供应商收到中标通知书后，应签字确认中标通知书已收到。若无回复，则公告后视同中标供应商已经知悉并同意接受。</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31.4所有投标文件都将作为档案保存，不论中标与否，代理机构均不退回。</w:t>
      </w:r>
    </w:p>
    <w:p>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32、 签订合同</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.l中标供应商应按中标通知书规定的时间、地点,按照招标文件确定的事项与采购人签订</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合同，且不得迟于中标通知书发出之日起三十日，由此给采购人造成损失的，中标供应商还应承担赔偿责任。</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32.2招标文件、中标供应商的投标文件及招标过程中有关澄清、承诺文件均应作为合同附件。</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 签订合同后，</w:t>
      </w:r>
      <w:r>
        <w:rPr>
          <w:rFonts w:hint="eastAsia" w:ascii="宋体" w:hAnsi="宋体" w:eastAsia="宋体" w:cs="宋体"/>
          <w:i/>
          <w:color w:val="000000" w:themeColor="text1"/>
          <w:szCs w:val="21"/>
          <w:highlight w:val="none"/>
          <w:u w:val="single"/>
          <w14:textFill>
            <w14:solidFill>
              <w14:schemeClr w14:val="tx1"/>
            </w14:solidFill>
          </w14:textFill>
        </w:rPr>
        <w:t>中标供应商不得将中标服务进行转包</w:t>
      </w:r>
      <w:r>
        <w:rPr>
          <w:rFonts w:hint="eastAsia" w:ascii="宋体" w:hAnsi="宋体" w:eastAsia="宋体" w:cs="宋体"/>
          <w:color w:val="000000" w:themeColor="text1"/>
          <w:szCs w:val="21"/>
          <w:highlight w:val="none"/>
          <w14:textFill>
            <w14:solidFill>
              <w14:schemeClr w14:val="tx1"/>
            </w14:solidFill>
          </w14:textFill>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32.5履约保证金：本项目不收取履约保证金。</w:t>
      </w:r>
    </w:p>
    <w:p>
      <w:pPr>
        <w:pStyle w:val="29"/>
        <w:rPr>
          <w:rFonts w:hint="eastAsia"/>
        </w:rPr>
      </w:pPr>
    </w:p>
    <w:p>
      <w:pPr>
        <w:widowControl/>
        <w:jc w:val="left"/>
        <w:rPr>
          <w:rFonts w:hint="eastAsia" w:ascii="宋体" w:hAnsi="宋体" w:eastAsia="宋体" w:cs="宋体"/>
          <w:b/>
          <w:color w:val="000000" w:themeColor="text1"/>
          <w:sz w:val="36"/>
          <w:highlight w:val="none"/>
          <w14:textFill>
            <w14:solidFill>
              <w14:schemeClr w14:val="tx1"/>
            </w14:solidFill>
          </w14:textFill>
        </w:rPr>
      </w:pPr>
    </w:p>
    <w:p>
      <w:pPr>
        <w:rPr>
          <w:rFonts w:hint="eastAsia" w:ascii="宋体" w:hAnsi="宋体" w:eastAsia="宋体" w:cs="宋体"/>
          <w:b/>
          <w:color w:val="000000" w:themeColor="text1"/>
          <w:sz w:val="36"/>
          <w:highlight w:val="none"/>
          <w14:textFill>
            <w14:solidFill>
              <w14:schemeClr w14:val="tx1"/>
            </w14:solidFill>
          </w14:textFill>
        </w:rPr>
      </w:pPr>
      <w:bookmarkStart w:id="122" w:name="_Toc14487"/>
      <w:r>
        <w:rPr>
          <w:rFonts w:hint="eastAsia" w:ascii="宋体" w:hAnsi="宋体" w:eastAsia="宋体" w:cs="宋体"/>
          <w:b/>
          <w:color w:val="000000" w:themeColor="text1"/>
          <w:sz w:val="36"/>
          <w:highlight w:val="none"/>
          <w14:textFill>
            <w14:solidFill>
              <w14:schemeClr w14:val="tx1"/>
            </w14:solidFill>
          </w14:textFill>
        </w:rPr>
        <w:br w:type="page"/>
      </w:r>
    </w:p>
    <w:bookmarkEnd w:id="122"/>
    <w:p>
      <w:pPr>
        <w:jc w:val="center"/>
        <w:outlineLvl w:val="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第三章 合同条款及格式</w:t>
      </w:r>
    </w:p>
    <w:p>
      <w:pPr>
        <w:ind w:left="375" w:right="376"/>
        <w:jc w:val="center"/>
        <w:rPr>
          <w:rFonts w:hint="eastAsia" w:ascii="宋体" w:hAnsi="宋体" w:eastAsia="宋体" w:cs="宋体"/>
          <w:color w:val="000000" w:themeColor="text1"/>
          <w:sz w:val="36"/>
          <w:highlight w:val="none"/>
          <w14:textFill>
            <w14:solidFill>
              <w14:schemeClr w14:val="tx1"/>
            </w14:solidFill>
          </w14:textFill>
        </w:rPr>
      </w:pPr>
    </w:p>
    <w:p>
      <w:pPr>
        <w:pStyle w:val="29"/>
        <w:rPr>
          <w:rFonts w:hint="eastAsia" w:ascii="宋体" w:hAnsi="宋体" w:eastAsia="宋体" w:cs="宋体"/>
          <w:color w:val="000000" w:themeColor="text1"/>
          <w:sz w:val="36"/>
          <w:highlight w:val="none"/>
          <w14:textFill>
            <w14:solidFill>
              <w14:schemeClr w14:val="tx1"/>
            </w14:solidFill>
          </w14:textFill>
        </w:rPr>
      </w:pPr>
    </w:p>
    <w:p>
      <w:pPr>
        <w:pStyle w:val="29"/>
        <w:rPr>
          <w:rFonts w:hint="eastAsia" w:ascii="宋体" w:hAnsi="宋体" w:eastAsia="宋体" w:cs="宋体"/>
          <w:color w:val="000000" w:themeColor="text1"/>
          <w:sz w:val="36"/>
          <w:highlight w:val="none"/>
          <w14:textFill>
            <w14:solidFill>
              <w14:schemeClr w14:val="tx1"/>
            </w14:solidFill>
          </w14:textFill>
        </w:rPr>
      </w:pPr>
    </w:p>
    <w:p>
      <w:pPr>
        <w:ind w:left="375" w:right="376"/>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GZ4</w:t>
      </w:r>
      <w:r>
        <w:rPr>
          <w:rFonts w:hint="eastAsia" w:ascii="宋体" w:hAnsi="宋体" w:eastAsia="宋体" w:cs="宋体"/>
          <w:color w:val="000000" w:themeColor="text1"/>
          <w:sz w:val="36"/>
          <w:highlight w:val="none"/>
          <w:lang w:val="en-US" w:eastAsia="zh-CN"/>
          <w14:textFill>
            <w14:solidFill>
              <w14:schemeClr w14:val="tx1"/>
            </w14:solidFill>
          </w14:textFill>
        </w:rPr>
        <w:t>58</w:t>
      </w:r>
      <w:r>
        <w:rPr>
          <w:rFonts w:hint="eastAsia" w:ascii="宋体" w:hAnsi="宋体" w:eastAsia="宋体" w:cs="宋体"/>
          <w:color w:val="000000" w:themeColor="text1"/>
          <w:sz w:val="36"/>
          <w:highlight w:val="none"/>
          <w14:textFill>
            <w14:solidFill>
              <w14:schemeClr w14:val="tx1"/>
            </w14:solidFill>
          </w14:textFill>
        </w:rPr>
        <w:t>地块项目营销代理服务合同书</w:t>
      </w:r>
    </w:p>
    <w:p>
      <w:pPr>
        <w:pStyle w:val="23"/>
        <w:spacing w:before="1"/>
        <w:ind w:firstLine="1040"/>
        <w:rPr>
          <w:rFonts w:hint="eastAsia" w:ascii="宋体" w:hAnsi="宋体" w:eastAsia="宋体" w:cs="宋体"/>
          <w:color w:val="000000" w:themeColor="text1"/>
          <w:sz w:val="52"/>
          <w:highlight w:val="none"/>
          <w14:textFill>
            <w14:solidFill>
              <w14:schemeClr w14:val="tx1"/>
            </w14:solidFill>
          </w14:textFill>
        </w:rPr>
      </w:pPr>
    </w:p>
    <w:p>
      <w:pPr>
        <w:spacing w:line="364" w:lineRule="auto"/>
        <w:ind w:left="1260" w:right="3495"/>
        <w:rPr>
          <w:rFonts w:hint="eastAsia" w:ascii="宋体" w:hAnsi="宋体" w:eastAsia="宋体" w:cs="宋体"/>
          <w:color w:val="000000" w:themeColor="text1"/>
          <w:sz w:val="24"/>
          <w:szCs w:val="24"/>
          <w:highlight w:val="none"/>
          <w14:textFill>
            <w14:solidFill>
              <w14:schemeClr w14:val="tx1"/>
            </w14:solidFill>
          </w14:textFill>
        </w:rPr>
      </w:pPr>
    </w:p>
    <w:p>
      <w:pPr>
        <w:spacing w:line="364" w:lineRule="auto"/>
        <w:ind w:left="1260" w:right="3495"/>
        <w:rPr>
          <w:rFonts w:hint="eastAsia" w:ascii="宋体" w:hAnsi="宋体" w:eastAsia="宋体" w:cs="宋体"/>
          <w:color w:val="000000" w:themeColor="text1"/>
          <w:sz w:val="24"/>
          <w:szCs w:val="24"/>
          <w:highlight w:val="none"/>
          <w14:textFill>
            <w14:solidFill>
              <w14:schemeClr w14:val="tx1"/>
            </w14:solidFill>
          </w14:textFill>
        </w:rPr>
      </w:pPr>
    </w:p>
    <w:p>
      <w:pPr>
        <w:spacing w:line="364" w:lineRule="auto"/>
        <w:ind w:left="1260" w:right="3495"/>
        <w:rPr>
          <w:rFonts w:hint="eastAsia" w:ascii="宋体" w:hAnsi="宋体" w:eastAsia="宋体" w:cs="宋体"/>
          <w:color w:val="000000" w:themeColor="text1"/>
          <w:sz w:val="24"/>
          <w:szCs w:val="24"/>
          <w:highlight w:val="none"/>
          <w14:textFill>
            <w14:solidFill>
              <w14:schemeClr w14:val="tx1"/>
            </w14:solidFill>
          </w14:textFill>
        </w:rPr>
      </w:pPr>
    </w:p>
    <w:p>
      <w:pPr>
        <w:spacing w:line="364" w:lineRule="auto"/>
        <w:ind w:left="1260" w:leftChars="0" w:right="3495"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扬州锦佑置业有限公司</w:t>
      </w:r>
    </w:p>
    <w:p>
      <w:pPr>
        <w:spacing w:line="365" w:lineRule="auto"/>
        <w:ind w:left="1259"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公司地址</w:t>
      </w:r>
      <w:r>
        <w:rPr>
          <w:rFonts w:hint="eastAsia" w:ascii="宋体" w:hAnsi="宋体" w:eastAsia="宋体" w:cs="宋体"/>
          <w:b/>
          <w:color w:val="000000" w:themeColor="text1"/>
          <w:sz w:val="24"/>
          <w:szCs w:val="24"/>
          <w:highlight w:val="none"/>
          <w14:textFill>
            <w14:solidFill>
              <w14:schemeClr w14:val="tx1"/>
            </w14:solidFill>
          </w14:textFill>
        </w:rPr>
        <w:t xml:space="preserve">： </w:t>
      </w:r>
    </w:p>
    <w:p>
      <w:pPr>
        <w:pStyle w:val="23"/>
        <w:spacing w:line="279" w:lineRule="exact"/>
        <w:ind w:left="126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pPr>
        <w:pStyle w:val="23"/>
        <w:ind w:firstLine="480"/>
        <w:rPr>
          <w:rFonts w:hint="eastAsia" w:ascii="宋体" w:hAnsi="宋体" w:eastAsia="宋体" w:cs="宋体"/>
          <w:color w:val="000000" w:themeColor="text1"/>
          <w:sz w:val="24"/>
          <w:szCs w:val="24"/>
          <w:highlight w:val="none"/>
          <w14:textFill>
            <w14:solidFill>
              <w14:schemeClr w14:val="tx1"/>
            </w14:solidFill>
          </w14:textFill>
        </w:rPr>
      </w:pPr>
    </w:p>
    <w:p>
      <w:pPr>
        <w:pStyle w:val="23"/>
        <w:spacing w:before="11"/>
        <w:ind w:firstLine="482"/>
        <w:rPr>
          <w:rFonts w:hint="eastAsia" w:ascii="宋体" w:hAnsi="宋体" w:eastAsia="宋体" w:cs="宋体"/>
          <w:b/>
          <w:color w:val="000000" w:themeColor="text1"/>
          <w:sz w:val="24"/>
          <w:szCs w:val="24"/>
          <w:highlight w:val="none"/>
          <w14:textFill>
            <w14:solidFill>
              <w14:schemeClr w14:val="tx1"/>
            </w14:solidFill>
          </w14:textFill>
        </w:rPr>
      </w:pPr>
    </w:p>
    <w:p>
      <w:pPr>
        <w:pStyle w:val="23"/>
        <w:spacing w:line="364" w:lineRule="auto"/>
        <w:ind w:left="1260" w:right="6145" w:firstLine="480"/>
        <w:rPr>
          <w:rFonts w:hint="eastAsia" w:ascii="宋体" w:hAnsi="宋体" w:eastAsia="宋体" w:cs="宋体"/>
          <w:color w:val="000000" w:themeColor="text1"/>
          <w:sz w:val="24"/>
          <w:szCs w:val="24"/>
          <w:highlight w:val="none"/>
          <w14:textFill>
            <w14:solidFill>
              <w14:schemeClr w14:val="tx1"/>
            </w14:solidFill>
          </w14:textFill>
        </w:rPr>
      </w:pPr>
    </w:p>
    <w:p>
      <w:pPr>
        <w:pStyle w:val="23"/>
        <w:spacing w:line="364" w:lineRule="auto"/>
        <w:ind w:left="1260" w:right="6145" w:firstLine="480"/>
        <w:rPr>
          <w:rFonts w:hint="eastAsia" w:ascii="宋体" w:hAnsi="宋体" w:eastAsia="宋体" w:cs="宋体"/>
          <w:color w:val="000000" w:themeColor="text1"/>
          <w:sz w:val="24"/>
          <w:szCs w:val="24"/>
          <w:highlight w:val="none"/>
          <w14:textFill>
            <w14:solidFill>
              <w14:schemeClr w14:val="tx1"/>
            </w14:solidFill>
          </w14:textFill>
        </w:rPr>
      </w:pPr>
    </w:p>
    <w:p>
      <w:pPr>
        <w:pStyle w:val="23"/>
        <w:spacing w:line="364" w:lineRule="auto"/>
        <w:ind w:left="1260" w:right="6145"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364" w:lineRule="auto"/>
        <w:ind w:left="1260" w:right="349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p>
    <w:p>
      <w:pPr>
        <w:spacing w:line="364" w:lineRule="auto"/>
        <w:ind w:left="1260" w:right="349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公司地址：</w:t>
      </w:r>
    </w:p>
    <w:p>
      <w:pPr>
        <w:spacing w:line="364" w:lineRule="auto"/>
        <w:ind w:left="1260" w:right="349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pPr>
        <w:pStyle w:val="23"/>
        <w:ind w:firstLine="482"/>
        <w:rPr>
          <w:rFonts w:hint="eastAsia" w:ascii="宋体" w:hAnsi="宋体" w:eastAsia="宋体" w:cs="宋体"/>
          <w:b/>
          <w:color w:val="000000" w:themeColor="text1"/>
          <w:sz w:val="24"/>
          <w:szCs w:val="24"/>
          <w:highlight w:val="none"/>
          <w14:textFill>
            <w14:solidFill>
              <w14:schemeClr w14:val="tx1"/>
            </w14:solidFill>
          </w14:textFill>
        </w:rPr>
      </w:pPr>
    </w:p>
    <w:p>
      <w:pPr>
        <w:pStyle w:val="23"/>
        <w:spacing w:before="10"/>
        <w:ind w:firstLine="422"/>
        <w:rPr>
          <w:rFonts w:hint="eastAsia" w:ascii="宋体" w:hAnsi="宋体" w:eastAsia="宋体" w:cs="宋体"/>
          <w:b/>
          <w:color w:val="000000" w:themeColor="text1"/>
          <w:highlight w:val="none"/>
          <w14:textFill>
            <w14:solidFill>
              <w14:schemeClr w14:val="tx1"/>
            </w14:solidFill>
          </w14:textFill>
        </w:rPr>
      </w:pPr>
    </w:p>
    <w:p>
      <w:pPr>
        <w:widowControl/>
        <w:jc w:val="left"/>
        <w:rPr>
          <w:rFonts w:hint="eastAsia" w:ascii="宋体" w:hAnsi="宋体" w:eastAsia="宋体" w:cs="宋体"/>
          <w:color w:val="000000" w:themeColor="text1"/>
          <w:sz w:val="32"/>
          <w:highlight w:val="none"/>
          <w14:textFill>
            <w14:solidFill>
              <w14:schemeClr w14:val="tx1"/>
            </w14:solidFill>
          </w14:textFill>
        </w:rPr>
      </w:pPr>
      <w:bookmarkStart w:id="123" w:name="第一部分__协议书"/>
      <w:bookmarkEnd w:id="123"/>
      <w:r>
        <w:rPr>
          <w:rFonts w:hint="eastAsia" w:ascii="宋体" w:hAnsi="宋体" w:eastAsia="宋体" w:cs="宋体"/>
          <w:color w:val="000000" w:themeColor="text1"/>
          <w:sz w:val="32"/>
          <w:highlight w:val="none"/>
          <w14:textFill>
            <w14:solidFill>
              <w14:schemeClr w14:val="tx1"/>
            </w14:solidFill>
          </w14:textFill>
        </w:rPr>
        <w:br w:type="page"/>
      </w:r>
    </w:p>
    <w:p>
      <w:pPr>
        <w:ind w:left="375" w:right="376"/>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GZ4</w:t>
      </w:r>
      <w:r>
        <w:rPr>
          <w:rFonts w:hint="eastAsia" w:ascii="宋体" w:hAnsi="宋体" w:eastAsia="宋体" w:cs="宋体"/>
          <w:b/>
          <w:bCs/>
          <w:color w:val="000000" w:themeColor="text1"/>
          <w:sz w:val="36"/>
          <w:highlight w:val="none"/>
          <w:lang w:val="en-US" w:eastAsia="zh-CN"/>
          <w14:textFill>
            <w14:solidFill>
              <w14:schemeClr w14:val="tx1"/>
            </w14:solidFill>
          </w14:textFill>
        </w:rPr>
        <w:t>58</w:t>
      </w:r>
      <w:r>
        <w:rPr>
          <w:rFonts w:hint="eastAsia" w:ascii="宋体" w:hAnsi="宋体" w:eastAsia="宋体" w:cs="宋体"/>
          <w:b/>
          <w:bCs/>
          <w:color w:val="000000" w:themeColor="text1"/>
          <w:sz w:val="36"/>
          <w:highlight w:val="none"/>
          <w14:textFill>
            <w14:solidFill>
              <w14:schemeClr w14:val="tx1"/>
            </w14:solidFill>
          </w14:textFill>
        </w:rPr>
        <w:t>地块项目营销代理服务合同书</w:t>
      </w:r>
    </w:p>
    <w:p>
      <w:pPr>
        <w:pStyle w:val="24"/>
        <w:spacing w:after="0"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spacing w:line="364" w:lineRule="auto"/>
        <w:ind w:right="3495"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扬州锦佑置业有限公司</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pacing w:after="317" w:afterLines="10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 项目基本情况</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（一）项目地点和土地四至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GZ</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地块位于【扬州市W</w:t>
      </w:r>
      <w:r>
        <w:rPr>
          <w:rFonts w:hint="eastAsia" w:ascii="宋体" w:hAnsi="宋体" w:eastAsia="宋体" w:cs="宋体"/>
          <w:color w:val="000000" w:themeColor="text1"/>
          <w:sz w:val="21"/>
          <w:szCs w:val="21"/>
          <w:highlight w:val="none"/>
          <w:lang w:val="en-US" w:eastAsia="zh-CN"/>
          <w14:textFill>
            <w14:solidFill>
              <w14:schemeClr w14:val="tx1"/>
            </w14:solidFill>
          </w14:textFill>
        </w:rPr>
        <w:t>6西区新城拓展区</w:t>
      </w:r>
      <w:r>
        <w:rPr>
          <w:rFonts w:hint="eastAsia" w:ascii="宋体" w:hAnsi="宋体" w:eastAsia="宋体" w:cs="宋体"/>
          <w:color w:val="000000" w:themeColor="text1"/>
          <w:sz w:val="21"/>
          <w:szCs w:val="21"/>
          <w:highlight w:val="none"/>
          <w14:textFill>
            <w14:solidFill>
              <w14:schemeClr w14:val="tx1"/>
            </w14:solidFill>
          </w14:textFill>
        </w:rPr>
        <w:t>控制性详细规划单元内】，四至为【东至真州路，南至润蜀南路，西至园林路，北至茶园路】。界址点坐标最终以《国有建设用地使用权出让合同》附件之《出让宗地界址图》为准。</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（二）项目名称和用地性质：GZ</w:t>
      </w:r>
      <w:r>
        <w:rPr>
          <w:rFonts w:hint="eastAsia" w:ascii="宋体" w:hAnsi="宋体" w:eastAsia="宋体" w:cs="宋体"/>
          <w:color w:val="000000" w:themeColor="text1"/>
          <w:sz w:val="21"/>
          <w:szCs w:val="21"/>
          <w:highlight w:val="none"/>
          <w:lang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8地块项目营销代理服务，用地性质为【居住用地】。</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（三）土地使用权获取方式：【202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月】通过【挂牌】方式取得。</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（四）地块面积：GZ</w:t>
      </w:r>
      <w:r>
        <w:rPr>
          <w:rFonts w:hint="eastAsia" w:ascii="宋体" w:hAnsi="宋体" w:eastAsia="宋体" w:cs="宋体"/>
          <w:color w:val="000000" w:themeColor="text1"/>
          <w:sz w:val="21"/>
          <w:szCs w:val="21"/>
          <w:highlight w:val="none"/>
          <w:lang w:eastAsia="zh-CN"/>
          <w14:textFill>
            <w14:solidFill>
              <w14:schemeClr w14:val="tx1"/>
            </w14:solidFill>
          </w14:textFill>
        </w:rPr>
        <w:t>458</w:t>
      </w:r>
      <w:r>
        <w:rPr>
          <w:rFonts w:hint="eastAsia" w:ascii="宋体" w:hAnsi="宋体" w:eastAsia="宋体" w:cs="宋体"/>
          <w:color w:val="000000" w:themeColor="text1"/>
          <w:sz w:val="21"/>
          <w:szCs w:val="21"/>
          <w:highlight w:val="none"/>
          <w14:textFill>
            <w14:solidFill>
              <w14:schemeClr w14:val="tx1"/>
            </w14:solidFill>
          </w14:textFill>
        </w:rPr>
        <w:t>宗地面积约【</w:t>
      </w:r>
      <w:r>
        <w:rPr>
          <w:rFonts w:hint="eastAsia" w:ascii="宋体" w:hAnsi="宋体" w:eastAsia="宋体" w:cs="宋体"/>
          <w:color w:val="000000" w:themeColor="text1"/>
          <w:sz w:val="21"/>
          <w:szCs w:val="21"/>
          <w:highlight w:val="none"/>
          <w:lang w:val="en-US" w:eastAsia="zh-CN"/>
          <w14:textFill>
            <w14:solidFill>
              <w14:schemeClr w14:val="tx1"/>
            </w14:solidFill>
          </w14:textFill>
        </w:rPr>
        <w:t>46281</w:t>
      </w:r>
      <w:r>
        <w:rPr>
          <w:rFonts w:hint="eastAsia" w:ascii="宋体" w:hAnsi="宋体" w:eastAsia="宋体" w:cs="宋体"/>
          <w:color w:val="000000" w:themeColor="text1"/>
          <w:sz w:val="21"/>
          <w:szCs w:val="21"/>
          <w:highlight w:val="none"/>
          <w14:textFill>
            <w14:solidFill>
              <w14:schemeClr w14:val="tx1"/>
            </w14:solidFill>
          </w14:textFill>
        </w:rPr>
        <w:t>】平方米，约【</w:t>
      </w:r>
      <w:r>
        <w:rPr>
          <w:rFonts w:hint="eastAsia" w:ascii="宋体" w:hAnsi="宋体" w:eastAsia="宋体" w:cs="宋体"/>
          <w:color w:val="000000" w:themeColor="text1"/>
          <w:sz w:val="21"/>
          <w:szCs w:val="21"/>
          <w:highlight w:val="none"/>
          <w:lang w:val="en-US" w:eastAsia="zh-CN"/>
          <w14:textFill>
            <w14:solidFill>
              <w14:schemeClr w14:val="tx1"/>
            </w14:solidFill>
          </w14:textFill>
        </w:rPr>
        <w:t>69.43</w:t>
      </w:r>
      <w:r>
        <w:rPr>
          <w:rFonts w:hint="eastAsia" w:ascii="宋体" w:hAnsi="宋体" w:eastAsia="宋体" w:cs="宋体"/>
          <w:color w:val="000000" w:themeColor="text1"/>
          <w:sz w:val="21"/>
          <w:szCs w:val="21"/>
          <w:highlight w:val="none"/>
          <w14:textFill>
            <w14:solidFill>
              <w14:schemeClr w14:val="tx1"/>
            </w14:solidFill>
          </w14:textFill>
        </w:rPr>
        <w:t>】亩，其中建设用地面积约【</w:t>
      </w:r>
      <w:r>
        <w:rPr>
          <w:rFonts w:hint="eastAsia" w:ascii="宋体" w:hAnsi="宋体" w:eastAsia="宋体" w:cs="宋体"/>
          <w:color w:val="000000" w:themeColor="text1"/>
          <w:sz w:val="21"/>
          <w:szCs w:val="21"/>
          <w:highlight w:val="none"/>
          <w:lang w:val="en-US" w:eastAsia="zh-CN"/>
          <w14:textFill>
            <w14:solidFill>
              <w14:schemeClr w14:val="tx1"/>
            </w14:solidFill>
          </w14:textFill>
        </w:rPr>
        <w:t>46281</w:t>
      </w:r>
      <w:r>
        <w:rPr>
          <w:rFonts w:hint="eastAsia" w:ascii="宋体" w:hAnsi="宋体" w:eastAsia="宋体" w:cs="宋体"/>
          <w:color w:val="000000" w:themeColor="text1"/>
          <w:sz w:val="21"/>
          <w:szCs w:val="21"/>
          <w:highlight w:val="none"/>
          <w14:textFill>
            <w14:solidFill>
              <w14:schemeClr w14:val="tx1"/>
            </w14:solidFill>
          </w14:textFill>
        </w:rPr>
        <w:t>】平方米</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最终以国有土地使用证上登载的面积为准。</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（五）主要规划建设指标：GZ</w:t>
      </w:r>
      <w:r>
        <w:rPr>
          <w:rFonts w:hint="eastAsia" w:ascii="宋体" w:hAnsi="宋体" w:eastAsia="宋体" w:cs="宋体"/>
          <w:color w:val="000000" w:themeColor="text1"/>
          <w:sz w:val="21"/>
          <w:szCs w:val="21"/>
          <w:highlight w:val="none"/>
          <w:lang w:eastAsia="zh-CN"/>
          <w14:textFill>
            <w14:solidFill>
              <w14:schemeClr w14:val="tx1"/>
            </w14:solidFill>
          </w14:textFill>
        </w:rPr>
        <w:t>458</w:t>
      </w:r>
      <w:r>
        <w:rPr>
          <w:rFonts w:hint="eastAsia" w:ascii="宋体" w:hAnsi="宋体" w:eastAsia="宋体" w:cs="宋体"/>
          <w:color w:val="000000" w:themeColor="text1"/>
          <w:sz w:val="21"/>
          <w:szCs w:val="21"/>
          <w:highlight w:val="none"/>
          <w14:textFill>
            <w14:solidFill>
              <w14:schemeClr w14:val="tx1"/>
            </w14:solidFill>
          </w14:textFill>
        </w:rPr>
        <w:t>地块容积率为</w:t>
      </w:r>
      <w:r>
        <w:rPr>
          <w:rFonts w:hint="eastAsia" w:ascii="宋体" w:hAnsi="宋体" w:eastAsia="宋体" w:cs="宋体"/>
          <w:b/>
          <w:color w:val="000000" w:themeColor="text1"/>
          <w:sz w:val="21"/>
          <w:szCs w:val="21"/>
          <w:highlight w:val="none"/>
          <w14:textFill>
            <w14:solidFill>
              <w14:schemeClr w14:val="tx1"/>
            </w14:solidFill>
          </w14:textFill>
        </w:rPr>
        <w:t>【1.0-1.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建筑密度为【不高于25%】，绿地率为【不低于 35%】，详见地块规划设计条件书（最终以规划部门核准的指标为准）。</w:t>
      </w:r>
    </w:p>
    <w:p>
      <w:pPr>
        <w:pStyle w:val="18"/>
        <w:spacing w:before="0" w:after="0" w:line="360" w:lineRule="auto"/>
        <w:ind w:left="0" w:firstLine="41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3"/>
          <w:sz w:val="21"/>
          <w:szCs w:val="21"/>
          <w:highlight w:val="none"/>
          <w14:textFill>
            <w14:solidFill>
              <w14:schemeClr w14:val="tx1"/>
            </w14:solidFill>
          </w14:textFill>
        </w:rPr>
        <w:t>第二条 项目营销代理服务基本原则</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为了提高管理效率、降低管理成本，本项目的营销代理服务实行有限制的授权管理模式。即在项目营销代理服务范围内，经甲方用章等形式以甲方名义行使该权利。上述授权范围根据本合同的约定确定，未经双方同意不得随意变更。但若乙方未按规定权限执行或依据权限执行不当给甲方造成损失时，甲方有权就相关权限进行调整，而无须经得乙方另行同意。</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（二）甲方作为项目的开发建设单位，负责项目投资、建设，对项目定位、项目定价、营销方案等环节具有最终决策权。</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（三）乙方根据本合同的约定履行营销代理服务职责和义务，组建项目营销代理团队，对甲方负责，在本合同约定或甲方的特别授权许可范围对项目各可售类物业进行销售，实现项目销售目标。</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 服务范围及服务期限</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（一）本合同约定的营销代理服务涵盖合同期限内项目的营销服务工作，乙方对营销代理服务范围内应该从事的具体事项包含但不限于以下主要列举：</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1、营销计划管理，包括营销阶段性划分、战术部署及促销手法建议、整盘销售策略、价格策略制定、销售计划、开盘方案、示范区方案等；</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2、市场研究分析：对区域市场、重点板块、主要竞品的销售情况进行动态跟踪，定期出具市场报告，提供市场策略建议；</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3、营销团队组建：根据乙方的管理经验，建立符合项目需求的营销团队、制定相关管理制度，并在销售期内完成甲方对乙方要求的销售工作；</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4、销售流程管理：包括认购、签约、按揭、退房、换房、加名减名、抵押登记、验收交房等；</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5、销售数据管理：包括客户判定、客户信息管理、合同档案管理等日常工作；</w:t>
      </w:r>
    </w:p>
    <w:p>
      <w:pPr>
        <w:pStyle w:val="2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6、客户关系维护：乙方需设置或聘用客户服务人员，在服务期内对销售工作进行风险控制管理，及有效处理服务期内客户涉及营销服务范围内的投诉并提升客户满意度；</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7、房屋交付工作：项目交付时，乙方须配合甲方完成本案的房屋交付工作。</w:t>
      </w:r>
    </w:p>
    <w:p>
      <w:pPr>
        <w:tabs>
          <w:tab w:val="left" w:pos="1824"/>
        </w:tabs>
        <w:spacing w:line="360" w:lineRule="auto"/>
        <w:ind w:firstLine="428" w:firstLineChars="200"/>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（二）服务期限</w:t>
      </w:r>
    </w:p>
    <w:p>
      <w:pPr>
        <w:tabs>
          <w:tab w:val="left" w:pos="1824"/>
        </w:tabs>
        <w:spacing w:line="360" w:lineRule="auto"/>
        <w:ind w:firstLine="428" w:firstLineChars="200"/>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1、本合同的营销服务期限自本合同签订生效之日起至本项目最后一批住宅集中交付后1个月截止（不超过</w:t>
      </w:r>
      <w:r>
        <w:rPr>
          <w:rFonts w:hint="eastAsia" w:ascii="宋体" w:hAnsi="宋体" w:eastAsia="宋体" w:cs="宋体"/>
          <w:color w:val="000000" w:themeColor="text1"/>
          <w:spacing w:val="2"/>
          <w:szCs w:val="21"/>
          <w:highlight w:val="none"/>
          <w:lang w:val="en-US" w:eastAsia="zh-CN"/>
          <w14:textFill>
            <w14:solidFill>
              <w14:schemeClr w14:val="tx1"/>
            </w14:solidFill>
          </w14:textFill>
        </w:rPr>
        <w:t>36</w:t>
      </w:r>
      <w:r>
        <w:rPr>
          <w:rFonts w:hint="eastAsia" w:ascii="宋体" w:hAnsi="宋体" w:eastAsia="宋体" w:cs="宋体"/>
          <w:color w:val="000000" w:themeColor="text1"/>
          <w:spacing w:val="2"/>
          <w:szCs w:val="21"/>
          <w:highlight w:val="none"/>
          <w14:textFill>
            <w14:solidFill>
              <w14:schemeClr w14:val="tx1"/>
            </w14:solidFill>
          </w14:textFill>
        </w:rPr>
        <w:t>个月）。服务期限届满，乙方有权终止营销服务工作并撤出全部管理团队，甲方应予以配合并完成交接工作。</w:t>
      </w:r>
    </w:p>
    <w:p>
      <w:pPr>
        <w:tabs>
          <w:tab w:val="left" w:pos="1811"/>
        </w:tabs>
        <w:spacing w:line="360" w:lineRule="auto"/>
        <w:ind w:firstLine="428" w:firstLineChars="200"/>
        <w:rPr>
          <w:rFonts w:hint="eastAsia" w:ascii="宋体" w:hAnsi="宋体" w:eastAsia="宋体" w:cs="宋体"/>
          <w:color w:val="000000" w:themeColor="text1"/>
          <w:spacing w:val="-3"/>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2、如本合同服务期限到期后本项目仍未销售完毕或交付时间延长的，根据项目销售需要</w:t>
      </w:r>
      <w:r>
        <w:rPr>
          <w:rFonts w:hint="eastAsia" w:ascii="宋体" w:hAnsi="宋体" w:eastAsia="宋体" w:cs="宋体"/>
          <w:color w:val="000000" w:themeColor="text1"/>
          <w:spacing w:val="-3"/>
          <w:szCs w:val="21"/>
          <w:highlight w:val="none"/>
          <w14:textFill>
            <w14:solidFill>
              <w14:schemeClr w14:val="tx1"/>
            </w14:solidFill>
          </w14:textFill>
        </w:rPr>
        <w:t>，应甲方要求并由甲乙双方协商一致后，可延长项目服务期，届时根据延长期间的工作内容，由甲乙双方另行签订书面合同约定具体的服务内容及取费方式。</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 营销代理服务要求</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本合同生效</w:t>
      </w:r>
      <w:r>
        <w:rPr>
          <w:rFonts w:hint="eastAsia" w:ascii="宋体" w:hAnsi="宋体" w:cs="宋体"/>
          <w:color w:val="000000" w:themeColor="text1"/>
          <w:spacing w:val="2"/>
          <w:highlight w:val="none"/>
          <w:lang w:val="en-US" w:eastAsia="zh-CN"/>
          <w14:textFill>
            <w14:solidFill>
              <w14:schemeClr w14:val="tx1"/>
            </w14:solidFill>
          </w14:textFill>
        </w:rPr>
        <w:t>后，自接到甲方通知</w:t>
      </w:r>
      <w:r>
        <w:rPr>
          <w:rFonts w:hint="eastAsia" w:ascii="宋体" w:hAnsi="宋体" w:eastAsia="宋体" w:cs="宋体"/>
          <w:color w:val="000000" w:themeColor="text1"/>
          <w:spacing w:val="2"/>
          <w:highlight w:val="none"/>
          <w:lang w:val="en-US" w:eastAsia="zh-CN"/>
          <w14:textFill>
            <w14:solidFill>
              <w14:schemeClr w14:val="tx1"/>
            </w14:solidFill>
          </w14:textFill>
        </w:rPr>
        <w:t>5</w:t>
      </w:r>
      <w:r>
        <w:rPr>
          <w:rFonts w:hint="eastAsia" w:ascii="宋体" w:hAnsi="宋体" w:eastAsia="宋体" w:cs="宋体"/>
          <w:color w:val="000000" w:themeColor="text1"/>
          <w:spacing w:val="2"/>
          <w:highlight w:val="none"/>
          <w14:textFill>
            <w14:solidFill>
              <w14:schemeClr w14:val="tx1"/>
            </w14:solidFill>
          </w14:textFill>
        </w:rPr>
        <w:t>日内乙方派驻首批营销团队，首批营销团队到岗后15日内将项目整盘营销策划管理及推售方案提交甲方确认（包括项目首次开盘销售计划）</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作为项目服务期内销售考核制定的参考依据。</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（一）本项目整体开发、分期销售，预计项目在取得施工许可证（注：如项目停滞，则须按实际情况约定开工参照节点）后【6】个月内具备领取预售许可证的前置条件，具体开盘时间以</w:t>
      </w:r>
      <w:r>
        <w:rPr>
          <w:rFonts w:hint="eastAsia" w:ascii="宋体" w:hAnsi="宋体" w:eastAsia="宋体" w:cs="宋体"/>
          <w:color w:val="000000" w:themeColor="text1"/>
          <w:spacing w:val="2"/>
          <w:highlight w:val="none"/>
          <w:lang w:val="en-US" w:eastAsia="zh-CN"/>
          <w14:textFill>
            <w14:solidFill>
              <w14:schemeClr w14:val="tx1"/>
            </w14:solidFill>
          </w14:textFill>
        </w:rPr>
        <w:t>甲方</w:t>
      </w:r>
      <w:r>
        <w:rPr>
          <w:rFonts w:hint="eastAsia" w:ascii="宋体" w:hAnsi="宋体" w:eastAsia="宋体" w:cs="宋体"/>
          <w:color w:val="000000" w:themeColor="text1"/>
          <w:spacing w:val="2"/>
          <w:highlight w:val="none"/>
          <w14:textFill>
            <w14:solidFill>
              <w14:schemeClr w14:val="tx1"/>
            </w14:solidFill>
          </w14:textFill>
        </w:rPr>
        <w:t>正式确认的开盘方案为准。</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（二）在合同生效之日起【60】日内，乙方提供售楼中心和样板房软装设计方案意见提交甲方确认，乙方提供看房通道装饰设计方案意见提交甲方确认。</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（三）项目首开前【30】日，乙方应结合全盘销售计划提交详细的首开销售计划、销售平均底价、销售折扣政策，经双方确认后作为考核依据，该首开销售计划作为合同附件，与本合同具备等同法律效力。</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（四）乙方可根据上一批次销售情况制定后续批次详细销售计划,并在销售前【15】日提交甲方签字确认，作为后续批次的考核依据。</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 合同费用组成及结算</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 本合同项目的营销代理服务费用组成包含但不限于：</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1、人员基本费用：包括营销人员及客服人员基础薪酬及福利、社保费、公积金、员工培训费、差旅费等；</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2、人员销售佣金：根据销售回款支付给营销团队的销售服务费用；</w:t>
      </w:r>
    </w:p>
    <w:p>
      <w:pPr>
        <w:autoSpaceDE w:val="0"/>
        <w:autoSpaceDN w:val="0"/>
        <w:spacing w:line="360" w:lineRule="auto"/>
        <w:ind w:firstLine="420" w:firstLineChars="200"/>
        <w:contextualSpacing/>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3、行政办公费用：办公耗材（办公文具、纸张、油墨等）、劳保费用、工装等办公杂费</w:t>
      </w:r>
      <w:r>
        <w:rPr>
          <w:rFonts w:hint="eastAsia" w:ascii="宋体" w:hAnsi="宋体" w:cs="宋体"/>
          <w:color w:val="000000" w:themeColor="text1"/>
          <w:szCs w:val="21"/>
          <w:highlight w:val="none"/>
          <w:lang w:eastAsia="zh-CN"/>
          <w14:textFill>
            <w14:solidFill>
              <w14:schemeClr w14:val="tx1"/>
            </w14:solidFill>
          </w14:textFill>
        </w:rPr>
        <w:t>；</w:t>
      </w:r>
    </w:p>
    <w:p>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4、税金（增值税专用发票，税率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注：甲方负责项目售楼处及办公场所（含城市展厅、样板间、配套设施）的设计、建设、装修，采购基本办公家具和办公设备（具体物资由乙方向甲方提供清单，甲方负责提供），承担售楼处及办公场所的水电费、固定电话费、宽带安装使用费、保安、保洁、绿植租赁及维护等正常运转所需费用。</w:t>
      </w:r>
    </w:p>
    <w:p>
      <w:pPr>
        <w:pStyle w:val="158"/>
        <w:numPr>
          <w:ilvl w:val="0"/>
          <w:numId w:val="7"/>
        </w:numPr>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甲乙双方同意，本项目按照每批次推出房源的销售率进行考核，双方约定代理服务费用由以下部分组成：</w:t>
      </w:r>
    </w:p>
    <w:p>
      <w:pPr>
        <w:numPr>
          <w:ilvl w:val="0"/>
          <w:numId w:val="8"/>
        </w:numPr>
        <w:tabs>
          <w:tab w:val="left" w:pos="1824"/>
        </w:tabs>
        <w:spacing w:line="360" w:lineRule="auto"/>
        <w:ind w:left="0" w:leftChars="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车位佣金：最先销售</w:t>
      </w:r>
      <w:r>
        <w:rPr>
          <w:rFonts w:hint="eastAsia" w:ascii="宋体" w:hAnsi="宋体" w:cs="宋体"/>
          <w:color w:val="000000" w:themeColor="text1"/>
          <w:spacing w:val="2"/>
          <w:highlight w:val="none"/>
          <w:lang w:val="en-US" w:eastAsia="zh-CN"/>
          <w14:textFill>
            <w14:solidFill>
              <w14:schemeClr w14:val="tx1"/>
            </w14:solidFill>
          </w14:textFill>
        </w:rPr>
        <w:t>的</w:t>
      </w:r>
      <w:r>
        <w:rPr>
          <w:rFonts w:hint="eastAsia" w:ascii="宋体" w:hAnsi="宋体" w:eastAsia="宋体" w:cs="宋体"/>
          <w:color w:val="000000" w:themeColor="text1"/>
          <w:spacing w:val="2"/>
          <w:highlight w:val="none"/>
          <w:lang w:val="en-US" w:eastAsia="zh-CN"/>
          <w14:textFill>
            <w14:solidFill>
              <w14:schemeClr w14:val="tx1"/>
            </w14:solidFill>
          </w14:textFill>
        </w:rPr>
        <w:t>300</w:t>
      </w:r>
      <w:r>
        <w:rPr>
          <w:rFonts w:hint="eastAsia" w:ascii="宋体" w:hAnsi="宋体" w:eastAsia="宋体" w:cs="宋体"/>
          <w:color w:val="000000" w:themeColor="text1"/>
          <w:spacing w:val="2"/>
          <w:highlight w:val="none"/>
          <w14:textFill>
            <w14:solidFill>
              <w14:schemeClr w14:val="tx1"/>
            </w14:solidFill>
          </w14:textFill>
        </w:rPr>
        <w:t>个车位按照</w:t>
      </w:r>
      <w:r>
        <w:rPr>
          <w:rFonts w:hint="eastAsia" w:ascii="宋体" w:hAnsi="宋体" w:eastAsia="宋体" w:cs="宋体"/>
          <w:color w:val="000000" w:themeColor="text1"/>
          <w:spacing w:val="2"/>
          <w:highlight w:val="none"/>
          <w:u w:val="none"/>
          <w:lang w:val="en-US" w:eastAsia="zh-CN"/>
          <w14:textFill>
            <w14:solidFill>
              <w14:schemeClr w14:val="tx1"/>
            </w14:solidFill>
          </w14:textFill>
        </w:rPr>
        <w:t>1000元/个</w:t>
      </w:r>
      <w:r>
        <w:rPr>
          <w:rFonts w:hint="eastAsia" w:ascii="宋体" w:hAnsi="宋体" w:eastAsia="宋体" w:cs="宋体"/>
          <w:color w:val="000000" w:themeColor="text1"/>
          <w:spacing w:val="2"/>
          <w:highlight w:val="none"/>
          <w14:textFill>
            <w14:solidFill>
              <w14:schemeClr w14:val="tx1"/>
            </w14:solidFill>
          </w14:textFill>
        </w:rPr>
        <w:t>结算，剩余车位销售按照2000元/个结算；</w:t>
      </w:r>
    </w:p>
    <w:p>
      <w:pPr>
        <w:pStyle w:val="2"/>
        <w:numPr>
          <w:ilvl w:val="0"/>
          <w:numId w:val="8"/>
        </w:numPr>
        <w:ind w:left="0" w:leftChars="0" w:firstLine="420" w:firstLineChars="200"/>
        <w:rPr>
          <w:rFonts w:hint="eastAsia"/>
        </w:rPr>
      </w:pPr>
      <w:r>
        <w:rPr>
          <w:rFonts w:hint="eastAsia"/>
        </w:rPr>
        <w:t>洋房储藏室佣金：洋房储藏室佣金按</w:t>
      </w:r>
      <w:r>
        <w:rPr>
          <w:rFonts w:hint="eastAsia" w:ascii="宋体" w:hAnsi="宋体" w:eastAsia="宋体" w:cs="宋体"/>
          <w:color w:val="000000" w:themeColor="text1"/>
          <w:spacing w:val="2"/>
          <w:kern w:val="2"/>
          <w:sz w:val="21"/>
          <w:szCs w:val="22"/>
          <w:highlight w:val="none"/>
          <w:lang w:val="en-US" w:eastAsia="zh-CN" w:bidi="ar-SA"/>
          <w14:textFill>
            <w14:solidFill>
              <w14:schemeClr w14:val="tx1"/>
            </w14:solidFill>
          </w14:textFill>
        </w:rPr>
        <w:t>照800元/个</w:t>
      </w:r>
      <w:r>
        <w:rPr>
          <w:rFonts w:hint="eastAsia"/>
        </w:rPr>
        <w:t>结算</w:t>
      </w:r>
    </w:p>
    <w:p>
      <w:pPr>
        <w:numPr>
          <w:ilvl w:val="0"/>
          <w:numId w:val="8"/>
        </w:numPr>
        <w:tabs>
          <w:tab w:val="left" w:pos="1824"/>
        </w:tabs>
        <w:spacing w:line="360" w:lineRule="auto"/>
        <w:ind w:left="0" w:leftChars="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住宅按销售回款的</w:t>
      </w:r>
      <w:r>
        <w:rPr>
          <w:rFonts w:hint="eastAsia" w:ascii="宋体" w:hAnsi="宋体" w:eastAsia="宋体" w:cs="宋体"/>
          <w:color w:val="000000" w:themeColor="text1"/>
          <w:spacing w:val="2"/>
          <w:highlight w:val="none"/>
          <w:u w:val="single"/>
          <w14:textFill>
            <w14:solidFill>
              <w14:schemeClr w14:val="tx1"/>
            </w14:solidFill>
          </w14:textFill>
        </w:rPr>
        <w:t xml:space="preserve"> </w:t>
      </w:r>
      <w:r>
        <w:rPr>
          <w:rFonts w:hint="eastAsia" w:ascii="宋体" w:hAnsi="宋体" w:cs="宋体"/>
          <w:color w:val="000000" w:themeColor="text1"/>
          <w:spacing w:val="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highlight w:val="none"/>
          <w:u w:val="single"/>
          <w14:textFill>
            <w14:solidFill>
              <w14:schemeClr w14:val="tx1"/>
            </w14:solidFill>
          </w14:textFill>
        </w:rPr>
        <w:t xml:space="preserve"> </w:t>
      </w:r>
      <w:r>
        <w:rPr>
          <w:rFonts w:hint="eastAsia" w:ascii="宋体" w:hAnsi="宋体" w:eastAsia="宋体" w:cs="宋体"/>
          <w:color w:val="000000" w:themeColor="text1"/>
          <w:spacing w:val="2"/>
          <w:highlight w:val="none"/>
          <w14:textFill>
            <w14:solidFill>
              <w14:schemeClr w14:val="tx1"/>
            </w14:solidFill>
          </w14:textFill>
        </w:rPr>
        <w:t>%结算，具体标准如下表：</w:t>
      </w:r>
    </w:p>
    <w:p>
      <w:pPr>
        <w:pStyle w:val="158"/>
        <w:numPr>
          <w:ilvl w:val="0"/>
          <w:numId w:val="9"/>
        </w:numPr>
        <w:tabs>
          <w:tab w:val="left" w:pos="1824"/>
        </w:tabs>
        <w:spacing w:line="360" w:lineRule="auto"/>
        <w:ind w:left="0" w:firstLineChars="200"/>
        <w:rPr>
          <w:rFonts w:hint="eastAsia" w:ascii="宋体" w:hAnsi="宋体" w:eastAsia="宋体" w:cs="宋体"/>
          <w:color w:val="auto"/>
          <w:spacing w:val="2"/>
          <w:highlight w:val="none"/>
        </w:rPr>
      </w:pPr>
      <w:r>
        <w:rPr>
          <w:rFonts w:hint="eastAsia" w:ascii="宋体" w:hAnsi="宋体" w:eastAsia="宋体" w:cs="宋体"/>
          <w:color w:val="000000" w:themeColor="text1"/>
          <w:spacing w:val="2"/>
          <w:highlight w:val="none"/>
          <w14:textFill>
            <w14:solidFill>
              <w14:schemeClr w14:val="tx1"/>
            </w14:solidFill>
          </w14:textFill>
        </w:rPr>
        <w:t>在</w:t>
      </w:r>
      <w:r>
        <w:rPr>
          <w:rFonts w:hint="eastAsia" w:ascii="宋体" w:hAnsi="宋体" w:eastAsia="宋体" w:cs="宋体"/>
          <w:color w:val="auto"/>
          <w:spacing w:val="2"/>
          <w:highlight w:val="none"/>
        </w:rPr>
        <w:t>每批次住宅和车位推售前，双方书面确认具体推售时间、数量和价格，并以此界定考核指标。</w:t>
      </w:r>
    </w:p>
    <w:p>
      <w:pPr>
        <w:pStyle w:val="158"/>
        <w:numPr>
          <w:ilvl w:val="0"/>
          <w:numId w:val="9"/>
        </w:numPr>
        <w:tabs>
          <w:tab w:val="left" w:pos="1824"/>
        </w:tabs>
        <w:spacing w:line="360" w:lineRule="auto"/>
        <w:ind w:left="0"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若因市场、政策、供货等客观因素导致</w:t>
      </w:r>
      <w:r>
        <w:rPr>
          <w:rFonts w:hint="eastAsia" w:ascii="宋体" w:hAnsi="宋体" w:cs="宋体"/>
          <w:color w:val="auto"/>
          <w:spacing w:val="2"/>
          <w:highlight w:val="none"/>
          <w:lang w:val="en-US" w:eastAsia="zh-CN"/>
        </w:rPr>
        <w:t>考核</w:t>
      </w:r>
      <w:r>
        <w:rPr>
          <w:rFonts w:hint="eastAsia" w:ascii="宋体" w:hAnsi="宋体" w:eastAsia="宋体" w:cs="宋体"/>
          <w:color w:val="auto"/>
          <w:spacing w:val="2"/>
          <w:highlight w:val="none"/>
        </w:rPr>
        <w:t>指标达成可能性较低，双方可根据客观情况另行协商。</w:t>
      </w:r>
    </w:p>
    <w:p>
      <w:pPr>
        <w:pStyle w:val="158"/>
        <w:numPr>
          <w:ilvl w:val="0"/>
          <w:numId w:val="9"/>
        </w:numPr>
        <w:tabs>
          <w:tab w:val="left" w:pos="1824"/>
        </w:tabs>
        <w:spacing w:line="360" w:lineRule="auto"/>
        <w:ind w:left="0"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甲乙双方约定，在项目首期开盘后，甲乙双方以上月销售回款（含预付、按揭，不包含定金）为依据结算当期代理服务费用。每月3日前乙方提交上月的《销售业绩表》和《营销代理服务费结算表》（注：住宅单户回款金额达认购金额20%及以上，车位和储藏室回款金额达认购金额100%，方可计入《营销代理服务费结算表》），甲方应在5个工作日内审核确认并在当月25日前支付服务费用</w:t>
      </w:r>
      <w:r>
        <w:rPr>
          <w:rFonts w:hint="eastAsia" w:ascii="宋体" w:hAnsi="宋体" w:cs="宋体"/>
          <w:color w:val="auto"/>
          <w:spacing w:val="2"/>
          <w:highlight w:val="none"/>
          <w:lang w:eastAsia="zh-CN"/>
        </w:rPr>
        <w:t>，</w:t>
      </w:r>
      <w:r>
        <w:rPr>
          <w:rFonts w:hint="eastAsia" w:ascii="宋体" w:hAnsi="宋体" w:cs="宋体"/>
          <w:color w:val="auto"/>
          <w:spacing w:val="2"/>
          <w:highlight w:val="none"/>
          <w:lang w:val="en-US" w:eastAsia="zh-CN"/>
        </w:rPr>
        <w:t>甲方支付费用前乙方须提供与当期服务费等额的、合法有效的增值税专用发票（税率</w:t>
      </w:r>
      <w:r>
        <w:rPr>
          <w:rFonts w:hint="eastAsia" w:ascii="宋体" w:hAnsi="宋体" w:cs="宋体"/>
          <w:color w:val="auto"/>
          <w:spacing w:val="2"/>
          <w:highlight w:val="none"/>
          <w:u w:val="single"/>
          <w:lang w:val="en-US" w:eastAsia="zh-CN"/>
        </w:rPr>
        <w:t xml:space="preserve">  </w:t>
      </w:r>
      <w:r>
        <w:rPr>
          <w:rFonts w:hint="eastAsia" w:ascii="宋体" w:hAnsi="宋体" w:cs="宋体"/>
          <w:color w:val="auto"/>
          <w:spacing w:val="2"/>
          <w:highlight w:val="none"/>
          <w:lang w:val="en-US" w:eastAsia="zh-CN"/>
        </w:rPr>
        <w:t>%）</w:t>
      </w:r>
      <w:r>
        <w:rPr>
          <w:rFonts w:hint="eastAsia" w:ascii="宋体" w:hAnsi="宋体" w:eastAsia="宋体" w:cs="宋体"/>
          <w:color w:val="auto"/>
          <w:spacing w:val="2"/>
          <w:highlight w:val="none"/>
        </w:rPr>
        <w:t>。</w:t>
      </w:r>
    </w:p>
    <w:p>
      <w:pPr>
        <w:pStyle w:val="158"/>
        <w:numPr>
          <w:ilvl w:val="0"/>
          <w:numId w:val="9"/>
        </w:numPr>
        <w:tabs>
          <w:tab w:val="left" w:pos="1824"/>
        </w:tabs>
        <w:spacing w:line="360" w:lineRule="auto"/>
        <w:ind w:left="0"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认购面积达到全盘可售面积50%后，剩余房源的销售佣金按应结算的90%计提，另10%作为交房服务保证金，待上述对应房源交付完成后30日内结算。</w:t>
      </w:r>
    </w:p>
    <w:p>
      <w:pPr>
        <w:pStyle w:val="158"/>
        <w:numPr>
          <w:ilvl w:val="0"/>
          <w:numId w:val="9"/>
        </w:numPr>
        <w:tabs>
          <w:tab w:val="left" w:pos="1824"/>
        </w:tabs>
        <w:spacing w:line="360" w:lineRule="auto"/>
        <w:ind w:left="0"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auto"/>
          <w:spacing w:val="2"/>
          <w:highlight w:val="none"/>
        </w:rPr>
        <w:t>甲方工程款抵扣、材料款抵扣、员工购买（含甲方股东员工，且需提供</w:t>
      </w:r>
      <w:r>
        <w:rPr>
          <w:rFonts w:hint="eastAsia" w:ascii="宋体" w:hAnsi="宋体" w:eastAsia="宋体" w:cs="宋体"/>
          <w:color w:val="000000" w:themeColor="text1"/>
          <w:spacing w:val="2"/>
          <w:highlight w:val="none"/>
          <w14:textFill>
            <w14:solidFill>
              <w14:schemeClr w14:val="tx1"/>
            </w14:solidFill>
          </w14:textFill>
        </w:rPr>
        <w:t>员工劳动合同和缴纳社保证明）成交的住宅或车位计入各期的业绩考核指标，但不按双方约定的代理费率结算代理服务费，乙方应提供相应的合同签约及相关手续的办理服务，甲方按住宅3000元/套、车位1000元/个、</w:t>
      </w:r>
      <w:r>
        <w:rPr>
          <w:rFonts w:hint="eastAsia" w:ascii="宋体" w:hAnsi="宋体" w:cs="宋体"/>
          <w:color w:val="000000" w:themeColor="text1"/>
          <w:spacing w:val="2"/>
          <w:highlight w:val="none"/>
          <w:lang w:val="en-US" w:eastAsia="zh-CN"/>
          <w14:textFill>
            <w14:solidFill>
              <w14:schemeClr w14:val="tx1"/>
            </w14:solidFill>
          </w14:textFill>
        </w:rPr>
        <w:t>储藏室800</w:t>
      </w:r>
      <w:r>
        <w:rPr>
          <w:rFonts w:hint="eastAsia" w:ascii="宋体" w:hAnsi="宋体" w:eastAsia="宋体" w:cs="宋体"/>
          <w:color w:val="000000" w:themeColor="text1"/>
          <w:spacing w:val="2"/>
          <w:highlight w:val="none"/>
          <w14:textFill>
            <w14:solidFill>
              <w14:schemeClr w14:val="tx1"/>
            </w14:solidFill>
          </w14:textFill>
        </w:rPr>
        <w:t>元/个的标准向乙方支付服务费。</w:t>
      </w:r>
    </w:p>
    <w:p>
      <w:pPr>
        <w:pStyle w:val="158"/>
        <w:numPr>
          <w:ilvl w:val="0"/>
          <w:numId w:val="9"/>
        </w:numPr>
        <w:tabs>
          <w:tab w:val="left" w:pos="1824"/>
        </w:tabs>
        <w:spacing w:line="360" w:lineRule="auto"/>
        <w:ind w:left="0"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甲乙双方同意，为了促进销售而采取的“买房赠车位/储藏室”或低于车位/储藏室底价50%与住宅搭售等成交的车位/储藏室，计入各期的业绩考核指标，但不再结算代理服务费。</w:t>
      </w:r>
    </w:p>
    <w:p>
      <w:pPr>
        <w:pStyle w:val="158"/>
        <w:numPr>
          <w:ilvl w:val="0"/>
          <w:numId w:val="9"/>
        </w:numPr>
        <w:tabs>
          <w:tab w:val="left" w:pos="1824"/>
        </w:tabs>
        <w:spacing w:line="360" w:lineRule="auto"/>
        <w:ind w:left="0" w:firstLine="420"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客户退房的，</w:t>
      </w:r>
      <w:r>
        <w:rPr>
          <w:rFonts w:hint="eastAsia" w:ascii="宋体" w:hAnsi="宋体" w:eastAsia="宋体" w:cs="宋体"/>
          <w:color w:val="000000" w:themeColor="text1"/>
          <w:highlight w:val="none"/>
          <w:lang w:eastAsia="zh-Hans"/>
          <w14:textFill>
            <w14:solidFill>
              <w14:schemeClr w14:val="tx1"/>
            </w14:solidFill>
          </w14:textFill>
        </w:rPr>
        <w:t>乙方应在客户办理退房手续后退还甲方</w:t>
      </w:r>
      <w:r>
        <w:rPr>
          <w:rFonts w:hint="eastAsia" w:ascii="宋体" w:hAnsi="宋体" w:eastAsia="宋体" w:cs="宋体"/>
          <w:color w:val="000000" w:themeColor="text1"/>
          <w:highlight w:val="none"/>
          <w14:textFill>
            <w14:solidFill>
              <w14:schemeClr w14:val="tx1"/>
            </w14:solidFill>
          </w14:textFill>
        </w:rPr>
        <w:t>已结算</w:t>
      </w:r>
      <w:r>
        <w:rPr>
          <w:rFonts w:hint="eastAsia" w:ascii="宋体" w:hAnsi="宋体" w:eastAsia="宋体" w:cs="宋体"/>
          <w:color w:val="000000" w:themeColor="text1"/>
          <w:highlight w:val="none"/>
          <w:lang w:eastAsia="zh-Hans"/>
          <w14:textFill>
            <w14:solidFill>
              <w14:schemeClr w14:val="tx1"/>
            </w14:solidFill>
          </w14:textFill>
        </w:rPr>
        <w:t>的代理服务费</w:t>
      </w:r>
      <w:r>
        <w:rPr>
          <w:rFonts w:hint="eastAsia" w:ascii="宋体" w:hAnsi="宋体" w:eastAsia="宋体" w:cs="宋体"/>
          <w:color w:val="000000" w:themeColor="text1"/>
          <w:highlight w:val="none"/>
          <w14:textFill>
            <w14:solidFill>
              <w14:schemeClr w14:val="tx1"/>
            </w14:solidFill>
          </w14:textFill>
        </w:rPr>
        <w:t>。</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第六条 双方代表</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pacing w:val="-3"/>
          <w:szCs w:val="21"/>
          <w:highlight w:val="none"/>
          <w14:textFill>
            <w14:solidFill>
              <w14:schemeClr w14:val="tx1"/>
            </w14:solidFill>
          </w14:textFill>
        </w:rPr>
        <w:t>甲</w:t>
      </w:r>
      <w:r>
        <w:rPr>
          <w:rFonts w:hint="eastAsia" w:ascii="宋体" w:hAnsi="宋体" w:eastAsia="宋体" w:cs="宋体"/>
          <w:color w:val="000000" w:themeColor="text1"/>
          <w:szCs w:val="21"/>
          <w:highlight w:val="none"/>
          <w14:textFill>
            <w14:solidFill>
              <w14:schemeClr w14:val="tx1"/>
            </w14:solidFill>
          </w14:textFill>
        </w:rPr>
        <w:t>乙双</w:t>
      </w:r>
      <w:r>
        <w:rPr>
          <w:rFonts w:hint="eastAsia" w:ascii="宋体" w:hAnsi="宋体" w:eastAsia="宋体" w:cs="宋体"/>
          <w:color w:val="000000" w:themeColor="text1"/>
          <w:spacing w:val="-3"/>
          <w:szCs w:val="21"/>
          <w:highlight w:val="none"/>
          <w14:textFill>
            <w14:solidFill>
              <w14:schemeClr w14:val="tx1"/>
            </w14:solidFill>
          </w14:textFill>
        </w:rPr>
        <w:t>方</w:t>
      </w:r>
      <w:r>
        <w:rPr>
          <w:rFonts w:hint="eastAsia" w:ascii="宋体" w:hAnsi="宋体" w:eastAsia="宋体" w:cs="宋体"/>
          <w:color w:val="000000" w:themeColor="text1"/>
          <w:szCs w:val="21"/>
          <w:highlight w:val="none"/>
          <w14:textFill>
            <w14:solidFill>
              <w14:schemeClr w14:val="tx1"/>
            </w14:solidFill>
          </w14:textFill>
        </w:rPr>
        <w:t>均需</w:t>
      </w:r>
      <w:r>
        <w:rPr>
          <w:rFonts w:hint="eastAsia" w:ascii="宋体" w:hAnsi="宋体" w:eastAsia="宋体" w:cs="宋体"/>
          <w:color w:val="000000" w:themeColor="text1"/>
          <w:spacing w:val="-3"/>
          <w:szCs w:val="21"/>
          <w:highlight w:val="none"/>
          <w14:textFill>
            <w14:solidFill>
              <w14:schemeClr w14:val="tx1"/>
            </w14:solidFill>
          </w14:textFill>
        </w:rPr>
        <w:t>各</w:t>
      </w:r>
      <w:r>
        <w:rPr>
          <w:rFonts w:hint="eastAsia" w:ascii="宋体" w:hAnsi="宋体" w:eastAsia="宋体" w:cs="宋体"/>
          <w:color w:val="000000" w:themeColor="text1"/>
          <w:szCs w:val="21"/>
          <w:highlight w:val="none"/>
          <w14:textFill>
            <w14:solidFill>
              <w14:schemeClr w14:val="tx1"/>
            </w14:solidFill>
          </w14:textFill>
        </w:rPr>
        <w:t>自指</w:t>
      </w:r>
      <w:r>
        <w:rPr>
          <w:rFonts w:hint="eastAsia" w:ascii="宋体" w:hAnsi="宋体" w:eastAsia="宋体" w:cs="宋体"/>
          <w:color w:val="000000" w:themeColor="text1"/>
          <w:spacing w:val="-3"/>
          <w:szCs w:val="21"/>
          <w:highlight w:val="none"/>
          <w14:textFill>
            <w14:solidFill>
              <w14:schemeClr w14:val="tx1"/>
            </w14:solidFill>
          </w14:textFill>
        </w:rPr>
        <w:t>定</w:t>
      </w:r>
      <w:r>
        <w:rPr>
          <w:rFonts w:hint="eastAsia" w:ascii="宋体" w:hAnsi="宋体" w:eastAsia="宋体" w:cs="宋体"/>
          <w:color w:val="000000" w:themeColor="text1"/>
          <w:szCs w:val="21"/>
          <w:highlight w:val="none"/>
          <w14:textFill>
            <w14:solidFill>
              <w14:schemeClr w14:val="tx1"/>
            </w14:solidFill>
          </w14:textFill>
        </w:rPr>
        <w:t>专人（1</w:t>
      </w:r>
      <w:r>
        <w:rPr>
          <w:rFonts w:hint="eastAsia" w:ascii="宋体" w:hAnsi="宋体" w:eastAsia="宋体" w:cs="宋体"/>
          <w:color w:val="000000" w:themeColor="text1"/>
          <w:spacing w:val="-49"/>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pacing w:val="-3"/>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为本</w:t>
      </w:r>
      <w:r>
        <w:rPr>
          <w:rFonts w:hint="eastAsia" w:ascii="宋体" w:hAnsi="宋体" w:eastAsia="宋体" w:cs="宋体"/>
          <w:color w:val="000000" w:themeColor="text1"/>
          <w:spacing w:val="-3"/>
          <w:szCs w:val="21"/>
          <w:highlight w:val="none"/>
          <w14:textFill>
            <w14:solidFill>
              <w14:schemeClr w14:val="tx1"/>
            </w14:solidFill>
          </w14:textFill>
        </w:rPr>
        <w:t>合</w:t>
      </w:r>
      <w:r>
        <w:rPr>
          <w:rFonts w:hint="eastAsia" w:ascii="宋体" w:hAnsi="宋体" w:eastAsia="宋体" w:cs="宋体"/>
          <w:color w:val="000000" w:themeColor="text1"/>
          <w:szCs w:val="21"/>
          <w:highlight w:val="none"/>
          <w14:textFill>
            <w14:solidFill>
              <w14:schemeClr w14:val="tx1"/>
            </w14:solidFill>
          </w14:textFill>
        </w:rPr>
        <w:t>同履</w:t>
      </w:r>
      <w:r>
        <w:rPr>
          <w:rFonts w:hint="eastAsia" w:ascii="宋体" w:hAnsi="宋体" w:eastAsia="宋体" w:cs="宋体"/>
          <w:color w:val="000000" w:themeColor="text1"/>
          <w:spacing w:val="-3"/>
          <w:szCs w:val="21"/>
          <w:highlight w:val="none"/>
          <w14:textFill>
            <w14:solidFill>
              <w14:schemeClr w14:val="tx1"/>
            </w14:solidFill>
          </w14:textFill>
        </w:rPr>
        <w:t>行</w:t>
      </w:r>
      <w:r>
        <w:rPr>
          <w:rFonts w:hint="eastAsia" w:ascii="宋体" w:hAnsi="宋体" w:eastAsia="宋体" w:cs="宋体"/>
          <w:color w:val="000000" w:themeColor="text1"/>
          <w:szCs w:val="21"/>
          <w:highlight w:val="none"/>
          <w14:textFill>
            <w14:solidFill>
              <w14:schemeClr w14:val="tx1"/>
            </w14:solidFill>
          </w14:textFill>
        </w:rPr>
        <w:t>过程</w:t>
      </w:r>
      <w:r>
        <w:rPr>
          <w:rFonts w:hint="eastAsia" w:ascii="宋体" w:hAnsi="宋体" w:eastAsia="宋体" w:cs="宋体"/>
          <w:color w:val="000000" w:themeColor="text1"/>
          <w:spacing w:val="-3"/>
          <w:szCs w:val="21"/>
          <w:highlight w:val="none"/>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双方</w:t>
      </w:r>
      <w:r>
        <w:rPr>
          <w:rFonts w:hint="eastAsia" w:ascii="宋体" w:hAnsi="宋体" w:eastAsia="宋体" w:cs="宋体"/>
          <w:color w:val="000000" w:themeColor="text1"/>
          <w:spacing w:val="-3"/>
          <w:szCs w:val="21"/>
          <w:highlight w:val="none"/>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代表</w:t>
      </w:r>
      <w:r>
        <w:rPr>
          <w:rFonts w:hint="eastAsia" w:ascii="宋体" w:hAnsi="宋体" w:eastAsia="宋体" w:cs="宋体"/>
          <w:color w:val="000000" w:themeColor="text1"/>
          <w:spacing w:val="-3"/>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代表双方履行各自的权利和义务，</w:t>
      </w:r>
      <w:r>
        <w:rPr>
          <w:rFonts w:hint="eastAsia" w:ascii="宋体" w:hAnsi="宋体" w:eastAsia="宋体" w:cs="宋体"/>
          <w:color w:val="000000" w:themeColor="text1"/>
          <w:spacing w:val="-3"/>
          <w:szCs w:val="21"/>
          <w:highlight w:val="none"/>
          <w14:textFill>
            <w14:solidFill>
              <w14:schemeClr w14:val="tx1"/>
            </w14:solidFill>
          </w14:textFill>
        </w:rPr>
        <w:t>双方代表在授权范围内行使本合同的权利并履行本合同的义务，在授权范围内由双方代表签署的意见（包括通过乙方协同办公平台签署的意见）</w:t>
      </w:r>
      <w:r>
        <w:rPr>
          <w:rFonts w:hint="eastAsia" w:ascii="宋体" w:hAnsi="宋体" w:eastAsia="宋体" w:cs="宋体"/>
          <w:color w:val="000000" w:themeColor="text1"/>
          <w:spacing w:val="-2"/>
          <w:szCs w:val="21"/>
          <w:highlight w:val="none"/>
          <w14:textFill>
            <w14:solidFill>
              <w14:schemeClr w14:val="tx1"/>
            </w14:solidFill>
          </w14:textFill>
        </w:rPr>
        <w:t>即视为甲乙双方对该</w:t>
      </w:r>
      <w:r>
        <w:rPr>
          <w:rFonts w:hint="eastAsia" w:ascii="宋体" w:hAnsi="宋体" w:eastAsia="宋体" w:cs="宋体"/>
          <w:color w:val="000000" w:themeColor="text1"/>
          <w:spacing w:val="-3"/>
          <w:szCs w:val="21"/>
          <w:highlight w:val="none"/>
          <w14:textFill>
            <w14:solidFill>
              <w14:schemeClr w14:val="tx1"/>
            </w14:solidFill>
          </w14:textFill>
        </w:rPr>
        <w:t>项事务的处理意见，本合同另有约定的除外</w:t>
      </w:r>
      <w:r>
        <w:rPr>
          <w:rFonts w:hint="eastAsia" w:ascii="宋体" w:hAnsi="宋体" w:eastAsia="宋体" w:cs="宋体"/>
          <w:color w:val="000000" w:themeColor="text1"/>
          <w:szCs w:val="21"/>
          <w:highlight w:val="none"/>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甲方委派</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为项目负责人，联系电话：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乙方委派</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为项目负责人，联系电话：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2、甲乙双方任何一方更换代表人选的，必须提前 5 日以书面形式加盖公司印章告知另一方。</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 双方权利义务</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（一）甲方的权利</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1、甲方有权对乙方的营销代理服务实施监督和检查，对乙方编制的各类计划及销售、广告的方案及广告费用等进行审核确认，并有权监督乙方有效地执行。</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2、甲方有权对具体服务范围和服务权限作出适当调整，在书面告知乙方后即可作出相应调整，但造成乙方费用增加的，双方应当另行协商并签订补充协议确认增加的费用。</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3、甲方有权要求乙方对工作过程中可能产生不利影响的行为进行调整，乙方应执行甲方作出的决定。</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4、甲方有权以书面形式要求乙方更换有下列行为的派驻人员，并不另行支付相关人员的费用： a、严重违法违纪行为；b、导致重大责任事故；c、导致不良社会影响，重大舆情事故。乙方应在收到甲方通知后15日内派出具有同等资历的人员替任，甲方有权对乙方及相关人员追究法律及经济责任。</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（二）甲方义务</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甲方应保障本项目工程建设满足乙方营销需要，按期提供售楼处、样板房、实景示范区，以确保乙方销售工作的顺利开展。本项目销售许可证的获取时间节点应当由甲乙双方共同协商并书面确认，若因甲方原因造成工程进度延期或未能按确定时间提供乙方合法的可销售房源，则乙方销售进度亦相应顺延。</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甲方负责及时向乙方提供与本项目开发、销售、推广宣传有关的所有资料，以保证乙方工作的正常展开。甲方同时保证所提供资料的真实和合法性，如因甲方所提供的资料不实而与任何第三方发生纠纷的，乙方均不承担任何责任。</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3、甲方应根据合同规定按时向乙方支付约定的各项费用，以便乙方工作正常展开。</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4、甲方应安排专人负责售房款以及定金收取、退还，收款收据或发票的开具，销售合同的审批和交接等须以甲方名义办理的各项工作，乙方有义务根据甲方的要求进行配合，但乙方人员不得经手客户购房款项。</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（三）乙方的权利</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1、乙方有权根据自身的管理规范和制度对销售团队进行管理，除本合同约定外，甲方不应干涉乙方对销售团队的具体管理。</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2、乙方有权拒绝甲方提出的本合同约定之外或违反国家相关法律，法律、政策的要求。</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（四）乙方义务</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乙方作为本项目的营销代理服务单位，除负责本项目的全案销售代理外，还应当提供包括市场调研、产品定位、销售定价、户配建议、优惠政策、销售策略、推广策略等各个方面的配合服务工作，并根据需要向甲方提供书面成果。</w:t>
      </w:r>
    </w:p>
    <w:p>
      <w:pPr>
        <w:autoSpaceDE w:val="0"/>
        <w:autoSpaceDN w:val="0"/>
        <w:spacing w:line="360" w:lineRule="auto"/>
        <w:ind w:firstLine="420" w:firstLineChars="200"/>
        <w:contextualSpacing/>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highlight w:val="none"/>
          <w14:textFill>
            <w14:solidFill>
              <w14:schemeClr w14:val="tx1"/>
            </w14:solidFill>
          </w14:textFill>
        </w:rPr>
        <w:t>2、组</w:t>
      </w:r>
      <w:r>
        <w:rPr>
          <w:rFonts w:hint="eastAsia" w:ascii="宋体" w:hAnsi="宋体" w:eastAsia="宋体" w:cs="宋体"/>
          <w:color w:val="auto"/>
          <w:highlight w:val="none"/>
        </w:rPr>
        <w:t>建销售团队。乙方承诺，除销售人员外，销售团队后台管理人员均需具备至少1年以上的TOP10房企同岗位或类似岗位从业经历。</w:t>
      </w:r>
      <w:r>
        <w:rPr>
          <w:rFonts w:hint="eastAsia" w:ascii="宋体" w:hAnsi="宋体" w:cs="宋体"/>
          <w:color w:val="auto"/>
          <w:highlight w:val="none"/>
          <w:lang w:val="en-US" w:eastAsia="zh-CN"/>
        </w:rPr>
        <w:t>销售</w:t>
      </w:r>
      <w:r>
        <w:rPr>
          <w:rFonts w:hint="eastAsia" w:ascii="宋体" w:hAnsi="宋体" w:eastAsia="宋体" w:cs="宋体"/>
          <w:color w:val="auto"/>
          <w:highlight w:val="none"/>
          <w:lang w:val="en-US" w:eastAsia="zh-CN"/>
        </w:rPr>
        <w:t>团队</w:t>
      </w:r>
      <w:r>
        <w:rPr>
          <w:rFonts w:hint="eastAsia" w:ascii="宋体" w:hAnsi="宋体" w:eastAsia="宋体" w:cs="宋体"/>
          <w:color w:val="auto"/>
          <w:highlight w:val="none"/>
        </w:rPr>
        <w:t>所有人员需经甲方面试</w:t>
      </w:r>
      <w:r>
        <w:rPr>
          <w:rFonts w:hint="eastAsia" w:ascii="宋体" w:hAnsi="宋体" w:cs="宋体"/>
          <w:color w:val="auto"/>
          <w:highlight w:val="none"/>
          <w:lang w:val="en-US" w:eastAsia="zh-CN"/>
        </w:rPr>
        <w:t>合格后</w:t>
      </w:r>
      <w:r>
        <w:rPr>
          <w:rFonts w:hint="eastAsia" w:ascii="宋体" w:hAnsi="宋体" w:eastAsia="宋体" w:cs="宋体"/>
          <w:color w:val="auto"/>
          <w:highlight w:val="none"/>
        </w:rPr>
        <w:t>方可上岗，所有人员的简历（包括但不限于身份信息、联系方式、住址等）在人员到岗后10日内向甲方进行书面备案</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管理人员更变需经甲方书面同意，其他人员变动的需向甲方进行书面备案。</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乙方在甲方授权范围内进行销售，维护甲方企业形象，并严格管理销售人员说辞，乙方销售人员岗前培训方案需报甲方书面同意。乙方承诺，</w:t>
      </w:r>
      <w:r>
        <w:rPr>
          <w:rFonts w:hint="eastAsia" w:ascii="宋体" w:hAnsi="宋体" w:eastAsia="宋体" w:cs="宋体"/>
          <w:color w:val="000000" w:themeColor="text1"/>
          <w:highlight w:val="none"/>
          <w14:textFill>
            <w14:solidFill>
              <w14:schemeClr w14:val="tx1"/>
            </w14:solidFill>
          </w14:textFill>
        </w:rPr>
        <w:t>对销售人员进行严格岗前培训，严禁销售人员对客户进行虚假宣传、擅自承诺等，若因乙方销售人员对客户虚假宣传、不当承诺等造成甲方损失的，应由乙方赔偿。</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、乙方负责督促在服务期内成交的客户办理银行按揭及住房公积金手续、负责督促在服务期内成交的客户及时准备按揭所需所有资料，确保贷款资金及时到账，甲方提供协助配合。</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、乙方应严格按照甲乙双方确定的销售价格进行销售，若未经甲方同意低于底价销售的，差额部分由乙方承担，甲方有权在乙方当期代理服务费中直接扣除。</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、乙方应严格按照甲方审核通过的合同样本与客户签署销售合同，未经甲方同意，不得擅自变更合同条款，由此造成甲方损失的，由乙方承担。</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、项目开盘后，乙方应妥善管理销售数据和客户资料。每月10日前，乙方应出具上月销售数据管理和分析报告，并向甲方移交相应的基础数据材料。乙方负责销售合同档案管理工作，定期向甲方移交。</w:t>
      </w:r>
    </w:p>
    <w:p>
      <w:pPr>
        <w:pStyle w:val="113"/>
        <w:spacing w:line="360" w:lineRule="auto"/>
        <w:ind w:firstLine="42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lang w:val="en-US" w:eastAsia="zh-CN"/>
          <w14:textFill>
            <w14:solidFill>
              <w14:schemeClr w14:val="tx1"/>
            </w14:solidFill>
          </w14:textFill>
        </w:rPr>
        <w:t>8</w:t>
      </w:r>
      <w:r>
        <w:rPr>
          <w:rFonts w:hint="eastAsia" w:ascii="宋体" w:hAnsi="宋体" w:eastAsia="宋体" w:cs="宋体"/>
          <w:color w:val="000000" w:themeColor="text1"/>
          <w:sz w:val="21"/>
          <w:szCs w:val="22"/>
          <w:highlight w:val="none"/>
          <w14:textFill>
            <w14:solidFill>
              <w14:schemeClr w14:val="tx1"/>
            </w14:solidFill>
          </w14:textFill>
        </w:rPr>
        <w:t>、乙方承担乙方所有工作人员报酬与费用（包括但不限于薪资、社保、加班费、年终奖、福利、通讯费、交通补贴等），其为履行本合同所安排的工作人员与甲方不存在任何形式的用工关系，若上述人员与甲方发生争议，导致甲方被仲裁或诉讼，乙方应承担甲方为此支出的各项合理费用，包括但不限于诉讼费用、律师费、差旅费等。</w:t>
      </w:r>
    </w:p>
    <w:p>
      <w:pPr>
        <w:pStyle w:val="113"/>
        <w:spacing w:line="360" w:lineRule="auto"/>
        <w:ind w:firstLine="42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lang w:val="en-US" w:eastAsia="zh-CN"/>
          <w14:textFill>
            <w14:solidFill>
              <w14:schemeClr w14:val="tx1"/>
            </w14:solidFill>
          </w14:textFill>
        </w:rPr>
        <w:t>9</w:t>
      </w:r>
      <w:r>
        <w:rPr>
          <w:rFonts w:hint="eastAsia" w:ascii="宋体" w:hAnsi="宋体" w:eastAsia="宋体" w:cs="宋体"/>
          <w:color w:val="000000" w:themeColor="text1"/>
          <w:sz w:val="21"/>
          <w:szCs w:val="22"/>
          <w:highlight w:val="none"/>
          <w14:textFill>
            <w14:solidFill>
              <w14:schemeClr w14:val="tx1"/>
            </w14:solidFill>
          </w14:textFill>
        </w:rPr>
        <w:t>、乙方工作人员不得经手客户缴纳的购房款项，所有销售款项必须由甲方安排的专人收取，并由甲方出具收据或者正式的商品房销售专用发票。</w:t>
      </w:r>
    </w:p>
    <w:p>
      <w:pPr>
        <w:pStyle w:val="113"/>
        <w:spacing w:line="360" w:lineRule="auto"/>
        <w:ind w:firstLine="420"/>
        <w:rPr>
          <w:rFonts w:hint="eastAsia" w:ascii="宋体" w:hAnsi="宋体" w:eastAsia="宋体" w:cs="宋体"/>
          <w:color w:val="000000" w:themeColor="text1"/>
          <w:sz w:val="21"/>
          <w:szCs w:val="22"/>
          <w:highlight w:val="none"/>
          <w:lang w:val="en-US" w:eastAsia="zh-CN"/>
          <w14:textFill>
            <w14:solidFill>
              <w14:schemeClr w14:val="tx1"/>
            </w14:solidFill>
          </w14:textFill>
        </w:rPr>
      </w:pPr>
      <w:r>
        <w:rPr>
          <w:rFonts w:hint="eastAsia" w:ascii="宋体" w:hAnsi="宋体" w:eastAsia="宋体" w:cs="宋体"/>
          <w:color w:val="000000" w:themeColor="text1"/>
          <w:sz w:val="21"/>
          <w:szCs w:val="22"/>
          <w:highlight w:val="none"/>
          <w:lang w:val="en-US" w:eastAsia="zh-CN"/>
          <w14:textFill>
            <w14:solidFill>
              <w14:schemeClr w14:val="tx1"/>
            </w14:solidFill>
          </w14:textFill>
        </w:rPr>
        <w:t>10、乙方应自觉提高安全生产意识，确保用工安全。合同履行过程中乙方人员的一切安全责任及措施费用概由乙方负责，在合同履行过程中如发生人身伤亡事故，由乙方承担全部责任，并由乙方承担造成的经济损失和刑事责任。</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第八条 保密条款</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双方承诺对本合同内容严格保密，包括但不限于由于签订本合同而获知的对方公司的商业秘密及有关的信息。任何一方均不得向无关人员或其他方全部或部分泄漏，或让他人全部或部分泄漏本合同，但以下情况除外：</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1、经本合同其他方事先书面同意；</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2、任何一方开始进行的争议解决的程序要求；</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3、有管辖权的政府部门根据法律或法规及上市规则义务要求，但在此情况下，被要求进行信息披露的一方必须事先通知对方；</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4、向其他方的相关内部工作人员或顾问进行的披露，但以上人员应受职业保密义务的约束，并严格保证不向其他方披露所知悉的与本合同相关的任何内容；</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5、法律、法规或相关上市规则另有规定的。</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第九条 合同的生效、终止、变更</w:t>
      </w:r>
    </w:p>
    <w:p>
      <w:pPr>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甲乙双方任何一方无故提前解除本合同的，构成违约，应向另一方支付违约金，违约金金额为人民币10万元。</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14:textFill>
            <w14:solidFill>
              <w14:schemeClr w14:val="tx1"/>
            </w14:solidFill>
          </w14:textFill>
        </w:rPr>
        <w:t>）本合同的生效，以本合同法定代表人或授权代表签字并盖章之日起生效。</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）本合同履行完毕后终止或本合同被解除之日终止</w:t>
      </w:r>
      <w:r>
        <w:rPr>
          <w:rFonts w:hint="eastAsia" w:ascii="宋体" w:hAnsi="宋体" w:cs="宋体"/>
          <w:color w:val="000000" w:themeColor="text1"/>
          <w:szCs w:val="21"/>
          <w:highlight w:val="none"/>
          <w:lang w:eastAsia="zh-CN"/>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首期房源开盘后三个月内，乙方认购面积未达到首开可售面积的30%，甲方有权解除合同；每批次房源推售后六个月内，乙方认购面积未达到当期推出可售面积的40%，甲方有权解除合同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甲方解除合同的，</w:t>
      </w:r>
      <w:r>
        <w:rPr>
          <w:rFonts w:hint="eastAsia" w:ascii="宋体" w:hAnsi="宋体" w:eastAsia="宋体" w:cs="宋体"/>
          <w:color w:val="000000" w:themeColor="text1"/>
          <w:szCs w:val="21"/>
          <w:highlight w:val="none"/>
          <w14:textFill>
            <w14:solidFill>
              <w14:schemeClr w14:val="tx1"/>
            </w14:solidFill>
          </w14:textFill>
        </w:rPr>
        <w:t>双方按</w:t>
      </w:r>
      <w:r>
        <w:rPr>
          <w:rFonts w:hint="eastAsia" w:ascii="宋体" w:hAnsi="宋体" w:cs="宋体"/>
          <w:color w:val="000000" w:themeColor="text1"/>
          <w:szCs w:val="21"/>
          <w:highlight w:val="none"/>
          <w:lang w:val="en-US" w:eastAsia="zh-CN"/>
          <w14:textFill>
            <w14:solidFill>
              <w14:schemeClr w14:val="tx1"/>
            </w14:solidFill>
          </w14:textFill>
        </w:rPr>
        <w:t>实际回款额</w:t>
      </w:r>
      <w:r>
        <w:rPr>
          <w:rFonts w:hint="eastAsia" w:ascii="宋体" w:hAnsi="宋体" w:eastAsia="宋体" w:cs="宋体"/>
          <w:color w:val="000000" w:themeColor="text1"/>
          <w:szCs w:val="21"/>
          <w:highlight w:val="none"/>
          <w14:textFill>
            <w14:solidFill>
              <w14:schemeClr w14:val="tx1"/>
            </w14:solidFill>
          </w14:textFill>
        </w:rPr>
        <w:t>进行结算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未网签备案房源不予结算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2、因乙方的责任和过失，造成甲方重大损失的（甲方经济损失达</w:t>
      </w:r>
      <w:r>
        <w:rPr>
          <w:rFonts w:hint="eastAsia" w:ascii="宋体" w:hAnsi="宋体" w:eastAsia="宋体" w:cs="宋体"/>
          <w:color w:val="000000" w:themeColor="text1"/>
          <w:szCs w:val="21"/>
          <w:highlight w:val="none"/>
          <w:u w:val="single"/>
          <w14:textFill>
            <w14:solidFill>
              <w14:schemeClr w14:val="tx1"/>
            </w14:solidFill>
          </w14:textFill>
        </w:rPr>
        <w:t xml:space="preserve"> 10万元 </w:t>
      </w:r>
      <w:r>
        <w:rPr>
          <w:rFonts w:hint="eastAsia" w:ascii="宋体" w:hAnsi="宋体" w:eastAsia="宋体" w:cs="宋体"/>
          <w:color w:val="000000" w:themeColor="text1"/>
          <w:szCs w:val="21"/>
          <w:highlight w:val="none"/>
          <w14:textFill>
            <w14:solidFill>
              <w14:schemeClr w14:val="tx1"/>
            </w14:solidFill>
          </w14:textFill>
        </w:rPr>
        <w:t>），甲方有权解除合同，同时，甲方有权向乙方追偿</w:t>
      </w:r>
      <w:r>
        <w:rPr>
          <w:rFonts w:hint="eastAsia" w:ascii="宋体" w:hAnsi="宋体" w:eastAsia="宋体" w:cs="宋体"/>
          <w:color w:val="000000" w:themeColor="text1"/>
          <w:szCs w:val="21"/>
          <w:highlight w:val="none"/>
          <w:lang w:val="en-US" w:eastAsia="zh-CN"/>
          <w14:textFill>
            <w14:solidFill>
              <w14:schemeClr w14:val="tx1"/>
            </w14:solidFill>
          </w14:textFill>
        </w:rPr>
        <w:t>实际损失</w:t>
      </w:r>
      <w:r>
        <w:rPr>
          <w:rFonts w:hint="eastAsia" w:ascii="宋体" w:hAnsi="宋体" w:eastAsia="宋体" w:cs="宋体"/>
          <w:color w:val="000000" w:themeColor="text1"/>
          <w:szCs w:val="21"/>
          <w:highlight w:val="none"/>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3、因甲方原因，项目开盘时间（以甲方确认的全景计划内开盘时间为准）延后超过</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个月以上的，乙方有权解除合同，除保留必要的工作交接人员外，乙方有权随时撤回其余管理团队成员。</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4、甲方拖欠乙方代理服务费用超过</w:t>
      </w:r>
      <w:r>
        <w:rPr>
          <w:rFonts w:hint="eastAsia" w:ascii="宋体" w:hAnsi="宋体" w:eastAsia="宋体" w:cs="宋体"/>
          <w:color w:val="000000" w:themeColor="text1"/>
          <w:szCs w:val="21"/>
          <w:highlight w:val="none"/>
          <w:lang w:val="en-US" w:eastAsia="zh-CN"/>
          <w14:textFill>
            <w14:solidFill>
              <w14:schemeClr w14:val="tx1"/>
            </w14:solidFill>
          </w14:textFill>
        </w:rPr>
        <w:t>180日</w:t>
      </w:r>
      <w:r>
        <w:rPr>
          <w:rFonts w:hint="eastAsia" w:ascii="宋体" w:hAnsi="宋体" w:eastAsia="宋体" w:cs="宋体"/>
          <w:color w:val="000000" w:themeColor="text1"/>
          <w:szCs w:val="21"/>
          <w:highlight w:val="none"/>
          <w14:textFill>
            <w14:solidFill>
              <w14:schemeClr w14:val="tx1"/>
            </w14:solidFill>
          </w14:textFill>
        </w:rPr>
        <w:t>以上的，经乙方书面通知后，若仍未于指定的合理期限内支付，乙方有权解除合同。自合同解除之日起，一个月之内双方进行结算。</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）合同的变更</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6705600</wp:posOffset>
                </wp:positionH>
                <wp:positionV relativeFrom="paragraph">
                  <wp:posOffset>709930</wp:posOffset>
                </wp:positionV>
                <wp:extent cx="76835" cy="127635"/>
                <wp:effectExtent l="0" t="0" r="0" b="0"/>
                <wp:wrapNone/>
                <wp:docPr id="1169065109"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wps:spPr>
                      <wps:txbx>
                        <w:txbxContent>
                          <w:p>
                            <w:pPr>
                              <w:spacing w:line="120" w:lineRule="auto"/>
                              <w:ind w:left="20"/>
                              <w:rPr>
                                <w:sz w:val="16"/>
                              </w:rPr>
                            </w:pPr>
                            <w:r>
                              <w:rPr>
                                <w:rFonts w:hint="eastAsia"/>
                                <w:color w:val="3B3B3B"/>
                                <w:sz w:val="16"/>
                              </w:rPr>
                              <w:t>9</w:t>
                            </w:r>
                          </w:p>
                        </w:txbxContent>
                      </wps:txbx>
                      <wps:bodyPr rot="0" vert="eaVert" wrap="square" lIns="0" tIns="0" rIns="0" bIns="0" anchor="t" anchorCtr="0" upright="1">
                        <a:noAutofit/>
                      </wps:bodyPr>
                    </wps:wsp>
                  </a:graphicData>
                </a:graphic>
              </wp:anchor>
            </w:drawing>
          </mc:Choice>
          <mc:Fallback>
            <w:pict>
              <v:shape id="文本框 3" o:spid="_x0000_s1026" o:spt="202" type="#_x0000_t202" style="position:absolute;left:0pt;margin-left:528pt;margin-top:55.9pt;height:10.05pt;width:6.05pt;mso-position-horizontal-relative:page;z-index:251660288;mso-width-relative:page;mso-height-relative:page;" filled="f" stroked="f" coordsize="21600,21600" o:gfxdata="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zxYT1wAAAA0BAAAPAAAAAAAA&#10;AAEAIAAAACIAAABkcnMvZG93bnJldi54bWxQSwECFAAUAAAACACHTuJAmwWgHhMCAAAOBAAADgAA&#10;AAAAAAABACAAAAAmAQAAZHJzL2Uyb0RvYy54bWxQSwUGAAAAAAYABgBZAQAAqwUAAAAA&#10;">
                <v:fill on="f" focussize="0,0"/>
                <v:stroke on="f"/>
                <v:imagedata o:title=""/>
                <o:lock v:ext="edit" aspectratio="f"/>
                <v:textbox inset="0mm,0mm,0mm,0mm" style="layout-flow:vertical-ideographic;">
                  <w:txbxContent>
                    <w:p>
                      <w:pPr>
                        <w:spacing w:line="120" w:lineRule="auto"/>
                        <w:ind w:left="20"/>
                        <w:rPr>
                          <w:sz w:val="16"/>
                        </w:rPr>
                      </w:pPr>
                      <w:r>
                        <w:rPr>
                          <w:rFonts w:hint="eastAsia"/>
                          <w:color w:val="3B3B3B"/>
                          <w:sz w:val="16"/>
                        </w:rPr>
                        <w:t>9</w:t>
                      </w:r>
                    </w:p>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w:t>1、任何一方提出申请并经双方书面同意后，可对本合同进行变更。</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2、除本合同另有约定外，甲方增加、减少或改变本合同规定服务的形式、范围与内容，须与乙方协商一致，并签订补充协议。</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第十条 不可抗力</w:t>
      </w:r>
    </w:p>
    <w:p>
      <w:pPr>
        <w:pStyle w:val="24"/>
        <w:numPr>
          <w:ilvl w:val="0"/>
          <w:numId w:val="0"/>
        </w:numPr>
        <w:spacing w:after="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不可抗力主要包括的内容：（1）自然现象，如项目所在地发生台风、洪水、冰雹、水文地质灾害、地震等；</w:t>
      </w:r>
      <w:r>
        <w:rPr>
          <w:rFonts w:hint="eastAsia" w:ascii="宋体" w:hAnsi="宋体" w:cs="宋体"/>
          <w:sz w:val="21"/>
          <w:szCs w:val="21"/>
          <w:highlight w:val="none"/>
          <w:lang w:eastAsia="zh-CN"/>
        </w:rPr>
        <w:t>（2）政府行为，如征收、征用 、停工令等限制或影响项目销售、开发的行政命令；（3）项目考古等。</w:t>
      </w:r>
    </w:p>
    <w:p>
      <w:pPr>
        <w:pStyle w:val="24"/>
        <w:numPr>
          <w:ilvl w:val="0"/>
          <w:numId w:val="0"/>
        </w:numPr>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TW" w:eastAsia="zh-TW"/>
        </w:rPr>
        <w:t>一方因不可抗力不能履行合同的</w:t>
      </w:r>
      <w:r>
        <w:rPr>
          <w:rFonts w:hint="eastAsia" w:ascii="宋体" w:hAnsi="宋体" w:eastAsia="宋体" w:cs="宋体"/>
          <w:sz w:val="21"/>
          <w:szCs w:val="21"/>
          <w:highlight w:val="none"/>
          <w:lang w:val="zh-TW"/>
        </w:rPr>
        <w:t>，</w:t>
      </w:r>
      <w:r>
        <w:rPr>
          <w:rFonts w:hint="eastAsia" w:ascii="宋体" w:hAnsi="宋体" w:eastAsia="宋体" w:cs="宋体"/>
          <w:sz w:val="21"/>
          <w:szCs w:val="21"/>
          <w:highlight w:val="none"/>
          <w:lang w:val="zh-TW" w:eastAsia="zh-TW"/>
        </w:rPr>
        <w:t>应在不可抗力发生后两日内将不可抗力事件书面通知另一方；发生不可抗力时，双方均应采取一切措施，最大程度地减少不可抗力给任何一方造成的损失</w:t>
      </w:r>
      <w:r>
        <w:rPr>
          <w:rFonts w:hint="eastAsia" w:ascii="宋体" w:hAnsi="宋体" w:eastAsia="宋体" w:cs="宋体"/>
          <w:sz w:val="21"/>
          <w:szCs w:val="21"/>
          <w:highlight w:val="none"/>
        </w:rPr>
        <w:t>。</w:t>
      </w:r>
    </w:p>
    <w:p>
      <w:pPr>
        <w:pStyle w:val="24"/>
        <w:numPr>
          <w:ilvl w:val="0"/>
          <w:numId w:val="0"/>
        </w:numPr>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双方按不可抗力对合同履行的影响程度协商决定是否解除合同、延期履行合同或者部分履行合同。</w:t>
      </w:r>
    </w:p>
    <w:p>
      <w:pPr>
        <w:pStyle w:val="24"/>
        <w:numPr>
          <w:ilvl w:val="0"/>
          <w:numId w:val="0"/>
        </w:numPr>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对因不可抗力未能履约给另一方造成的经济损失，该履约方不负赔偿责任，但本合同另有约定的除外。</w:t>
      </w:r>
    </w:p>
    <w:p>
      <w:pPr>
        <w:pStyle w:val="18"/>
        <w:spacing w:before="0" w:after="0"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eastAsia="宋体" w:cs="宋体"/>
          <w:b/>
          <w:bCs/>
          <w:color w:val="auto"/>
          <w:sz w:val="21"/>
          <w:szCs w:val="21"/>
          <w:highlight w:val="none"/>
        </w:rPr>
        <w:t>十一条 违约责任</w:t>
      </w:r>
    </w:p>
    <w:p>
      <w:pPr>
        <w:autoSpaceDE w:val="0"/>
        <w:autoSpaceDN w:val="0"/>
        <w:spacing w:line="360" w:lineRule="auto"/>
        <w:ind w:firstLine="420" w:firstLineChars="200"/>
        <w:contextualSpacing/>
        <w:jc w:val="left"/>
        <w:rPr>
          <w:rFonts w:hint="eastAsia" w:ascii="宋体" w:hAnsi="宋体" w:eastAsia="宋体" w:cs="宋体"/>
          <w:color w:val="auto"/>
          <w:highlight w:val="none"/>
        </w:rPr>
      </w:pPr>
      <w:r>
        <w:rPr>
          <w:rFonts w:hint="eastAsia" w:ascii="宋体" w:hAnsi="宋体" w:eastAsia="宋体" w:cs="宋体"/>
          <w:color w:val="auto"/>
          <w:highlight w:val="none"/>
        </w:rPr>
        <w:t>（一）甲方的违约与赔偿：</w:t>
      </w:r>
    </w:p>
    <w:p>
      <w:pPr>
        <w:autoSpaceDE w:val="0"/>
        <w:autoSpaceDN w:val="0"/>
        <w:spacing w:line="360" w:lineRule="auto"/>
        <w:ind w:firstLine="420" w:firstLineChars="200"/>
        <w:contextualSpacing/>
        <w:jc w:val="left"/>
        <w:rPr>
          <w:rFonts w:hint="eastAsia" w:ascii="宋体" w:hAnsi="宋体" w:eastAsia="宋体" w:cs="宋体"/>
          <w:color w:val="auto"/>
          <w:highlight w:val="none"/>
        </w:rPr>
      </w:pPr>
      <w:r>
        <w:rPr>
          <w:rFonts w:hint="eastAsia" w:ascii="宋体" w:hAnsi="宋体" w:eastAsia="宋体" w:cs="宋体"/>
          <w:color w:val="auto"/>
          <w:highlight w:val="none"/>
        </w:rPr>
        <w:t>若甲方无故延期支付</w:t>
      </w:r>
      <w:r>
        <w:rPr>
          <w:rFonts w:hint="eastAsia" w:ascii="宋体" w:hAnsi="宋体" w:cs="宋体"/>
          <w:color w:val="auto"/>
          <w:highlight w:val="none"/>
          <w:lang w:val="en-US" w:eastAsia="zh-CN"/>
        </w:rPr>
        <w:t>服务费</w:t>
      </w:r>
      <w:r>
        <w:rPr>
          <w:rFonts w:hint="eastAsia" w:ascii="宋体" w:hAnsi="宋体" w:eastAsia="宋体" w:cs="宋体"/>
          <w:color w:val="auto"/>
          <w:highlight w:val="none"/>
        </w:rPr>
        <w:t>超过180日且乙方选择不解除合同的情况下，则自</w:t>
      </w:r>
      <w:r>
        <w:rPr>
          <w:rFonts w:hint="eastAsia" w:ascii="宋体" w:hAnsi="宋体" w:cs="宋体"/>
          <w:color w:val="auto"/>
          <w:highlight w:val="none"/>
          <w:lang w:val="en-US" w:eastAsia="zh-CN"/>
        </w:rPr>
        <w:t>延期支付</w:t>
      </w:r>
      <w:r>
        <w:rPr>
          <w:rFonts w:hint="eastAsia" w:ascii="宋体" w:hAnsi="宋体" w:eastAsia="宋体" w:cs="宋体"/>
          <w:color w:val="auto"/>
          <w:highlight w:val="none"/>
        </w:rPr>
        <w:t>第181日起，甲方按应付未付费用的每日万分之一计算违约金。</w:t>
      </w:r>
    </w:p>
    <w:p>
      <w:pPr>
        <w:autoSpaceDE w:val="0"/>
        <w:autoSpaceDN w:val="0"/>
        <w:spacing w:line="360" w:lineRule="auto"/>
        <w:ind w:firstLine="420" w:firstLineChars="200"/>
        <w:contextualSpacing/>
        <w:jc w:val="left"/>
        <w:rPr>
          <w:rFonts w:hint="eastAsia" w:ascii="宋体" w:hAnsi="宋体" w:eastAsia="宋体" w:cs="宋体"/>
          <w:color w:val="auto"/>
          <w:highlight w:val="none"/>
        </w:rPr>
      </w:pPr>
      <w:r>
        <w:rPr>
          <w:rFonts w:hint="eastAsia" w:ascii="宋体" w:hAnsi="宋体" w:eastAsia="宋体" w:cs="宋体"/>
          <w:color w:val="auto"/>
          <w:highlight w:val="none"/>
        </w:rPr>
        <w:t>（二）乙方（包括乙方工作人员等）的违约与赔偿：</w:t>
      </w:r>
    </w:p>
    <w:p>
      <w:pPr>
        <w:autoSpaceDE w:val="0"/>
        <w:autoSpaceDN w:val="0"/>
        <w:spacing w:line="360" w:lineRule="auto"/>
        <w:ind w:firstLine="420" w:firstLineChars="200"/>
        <w:contextualSpacing/>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1、未经甲方书面许可，虚假宣传、擅自向客户承诺任何形式的折扣或优惠的，发现一例承担违约金5000元，若给甲方造成损失，甲方有权向乙方追偿</w:t>
      </w:r>
      <w:r>
        <w:rPr>
          <w:rFonts w:hint="eastAsia" w:ascii="宋体" w:hAnsi="宋体" w:cs="宋体"/>
          <w:color w:val="auto"/>
          <w:highlight w:val="none"/>
          <w:lang w:eastAsia="zh-CN"/>
        </w:rPr>
        <w:t>；</w:t>
      </w:r>
    </w:p>
    <w:p>
      <w:pPr>
        <w:autoSpaceDE w:val="0"/>
        <w:autoSpaceDN w:val="0"/>
        <w:spacing w:line="360" w:lineRule="auto"/>
        <w:ind w:firstLine="420" w:firstLineChars="200"/>
        <w:contextualSpacing/>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2、未经甲方授权，对甲方提供的房屋/车位买卖合同及补充协议以及其他任何文件进行任何修改，发现一例承担违约金5000元，若给甲方造成损失，甲方有权向乙方追偿</w:t>
      </w:r>
      <w:r>
        <w:rPr>
          <w:rFonts w:hint="eastAsia" w:ascii="宋体" w:hAnsi="宋体" w:cs="宋体"/>
          <w:color w:val="auto"/>
          <w:highlight w:val="none"/>
          <w:lang w:eastAsia="zh-CN"/>
        </w:rPr>
        <w:t>；</w:t>
      </w:r>
    </w:p>
    <w:p>
      <w:pPr>
        <w:autoSpaceDE w:val="0"/>
        <w:autoSpaceDN w:val="0"/>
        <w:spacing w:line="360" w:lineRule="auto"/>
        <w:ind w:firstLine="420" w:firstLineChars="200"/>
        <w:contextualSpacing/>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3、乙方违反本合同约定或工作失误导致购房客户向甲方提出索赔要求，或严重损害甲方利益或社会形象的，发现一例承担违约金10000元，若给甲方造成损失，甲方有权向乙方追偿</w:t>
      </w:r>
      <w:r>
        <w:rPr>
          <w:rFonts w:hint="eastAsia" w:ascii="宋体" w:hAnsi="宋体" w:cs="宋体"/>
          <w:color w:val="auto"/>
          <w:highlight w:val="none"/>
          <w:lang w:eastAsia="zh-CN"/>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auto"/>
          <w:highlight w:val="none"/>
        </w:rPr>
        <w:t>4、在销售过程中，乙方超出实际规划内容及房屋设计内容，向买受人进行不实介绍，导致买受人购房后与甲方产生纠纷，给甲方造成损失的，发现一例</w:t>
      </w:r>
      <w:r>
        <w:rPr>
          <w:rFonts w:hint="eastAsia" w:ascii="宋体" w:hAnsi="宋体" w:eastAsia="宋体" w:cs="宋体"/>
          <w:color w:val="000000" w:themeColor="text1"/>
          <w:highlight w:val="none"/>
          <w14:textFill>
            <w14:solidFill>
              <w14:schemeClr w14:val="tx1"/>
            </w14:solidFill>
          </w14:textFill>
        </w:rPr>
        <w:t>承担违约金10000元，若给甲方造成损失，甲方有权向乙方追偿</w:t>
      </w:r>
      <w:r>
        <w:rPr>
          <w:rFonts w:hint="eastAsia" w:ascii="宋体" w:hAnsi="宋体" w:cs="宋体"/>
          <w:color w:val="000000" w:themeColor="text1"/>
          <w:highlight w:val="none"/>
          <w:lang w:eastAsia="zh-CN"/>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乙方出现倒客现象，将项目包括不限于来访、来电、成交等各类客户信息泄露至其他房产项目、中介门店、分销机构等，发现一例承担违约金10000元，关联工作人员即刻离开项目岗位，若给甲方造成损失，甲方有权向乙方追偿</w:t>
      </w:r>
      <w:r>
        <w:rPr>
          <w:rFonts w:hint="eastAsia" w:ascii="宋体" w:hAnsi="宋体" w:cs="宋体"/>
          <w:color w:val="000000" w:themeColor="text1"/>
          <w:highlight w:val="none"/>
          <w:lang w:val="en-US" w:eastAsia="zh-CN"/>
          <w14:textFill>
            <w14:solidFill>
              <w14:schemeClr w14:val="tx1"/>
            </w14:solidFill>
          </w14:textFill>
        </w:rPr>
        <w:t>且甲方有权解除合同</w:t>
      </w:r>
      <w:r>
        <w:rPr>
          <w:rFonts w:hint="eastAsia" w:ascii="宋体" w:hAnsi="宋体" w:cs="宋体"/>
          <w:color w:val="000000" w:themeColor="text1"/>
          <w:highlight w:val="none"/>
          <w:lang w:eastAsia="zh-CN"/>
          <w14:textFill>
            <w14:solidFill>
              <w14:schemeClr w14:val="tx1"/>
            </w14:solidFill>
          </w14:textFill>
        </w:rPr>
        <w:t>；</w:t>
      </w:r>
    </w:p>
    <w:p>
      <w:pPr>
        <w:autoSpaceDE w:val="0"/>
        <w:autoSpaceDN w:val="0"/>
        <w:spacing w:line="360" w:lineRule="auto"/>
        <w:ind w:firstLine="420" w:firstLineChars="200"/>
        <w:contextualSpacing/>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项目配置人员需每月进行电子打卡考核，未经甲方同意，乙方擅自变更、缩减项目营销人员配置，涉及管理人员（包括营销总监、项目经理、策划主管、销售助理），发现一例承担违约金20000元，涉及销售人员，发现一例承担违约金10000元。若项目人员配置连续两个月或累计三个月未达合同约定营销人员配置，甲方有权解除合同</w:t>
      </w:r>
      <w:r>
        <w:rPr>
          <w:rFonts w:hint="eastAsia" w:ascii="宋体" w:hAnsi="宋体" w:cs="宋体"/>
          <w:color w:val="000000" w:themeColor="text1"/>
          <w:highlight w:val="none"/>
          <w:lang w:val="en-US" w:eastAsia="zh-CN"/>
          <w14:textFill>
            <w14:solidFill>
              <w14:schemeClr w14:val="tx1"/>
            </w14:solidFill>
          </w14:textFill>
        </w:rPr>
        <w:t>；</w:t>
      </w:r>
    </w:p>
    <w:p>
      <w:pPr>
        <w:autoSpaceDE w:val="0"/>
        <w:autoSpaceDN w:val="0"/>
        <w:spacing w:line="360" w:lineRule="auto"/>
        <w:ind w:firstLine="420" w:firstLineChars="200"/>
        <w:contextualSpacing/>
        <w:jc w:val="left"/>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、乙方应向甲方支付的违约金或赔偿款，甲方有权自行从应付乙方合作营销代理服务费用中直接扣除，不足的部分，甲方有权进一步追偿</w:t>
      </w:r>
      <w:r>
        <w:rPr>
          <w:rFonts w:hint="eastAsia" w:ascii="宋体" w:hAnsi="宋体" w:cs="宋体"/>
          <w:color w:val="000000" w:themeColor="text1"/>
          <w:highlight w:val="none"/>
          <w:lang w:eastAsia="zh-CN"/>
          <w14:textFill>
            <w14:solidFill>
              <w14:schemeClr w14:val="tx1"/>
            </w14:solidFill>
          </w14:textFill>
        </w:rPr>
        <w:t>。</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第十二条 通知</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（一）任何与本合同有关的通知或其他通讯往来(以下简称“通知") 应当采用书面形式(包括亲自送达、邮递)。</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（二）任何上述通知必须以专人送递、邮递发送 。任何通知应在下列时间被视为收到：</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1、任何面呈之通知在被通知人签收时视为送达，被通知人未签收的不得视为有效的送达；</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2、任何以邮寄方式进行的通知均应采用挂号快件或特快专递的方式进行，并在签收后视为已经送达被通知人(法定节假日顺延)；</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甲方联系人： </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乙方联系人：</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第十三条 争议的解决</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本合同在履行过程中发生的争议，由双方当事人协商解决；协商不成的，双方应当依法向项目所在地人民法院提起诉讼。</w:t>
      </w:r>
    </w:p>
    <w:p>
      <w:pPr>
        <w:pStyle w:val="18"/>
        <w:spacing w:before="0" w:after="0" w:line="360" w:lineRule="auto"/>
        <w:ind w:left="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第十四条 合同生效</w:t>
      </w:r>
    </w:p>
    <w:p>
      <w:pPr>
        <w:autoSpaceDE w:val="0"/>
        <w:autoSpaceDN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本协议壹式</w:t>
      </w:r>
      <w:r>
        <w:rPr>
          <w:rFonts w:hint="eastAsia" w:ascii="宋体" w:hAnsi="宋体" w:cs="宋体"/>
          <w:color w:val="000000" w:themeColor="text1"/>
          <w:szCs w:val="21"/>
          <w:highlight w:val="none"/>
          <w:lang w:val="en-US" w:eastAsia="zh-CN"/>
          <w14:textFill>
            <w14:solidFill>
              <w14:schemeClr w14:val="tx1"/>
            </w14:solidFill>
          </w14:textFill>
        </w:rPr>
        <w:t>肆</w:t>
      </w:r>
      <w:r>
        <w:rPr>
          <w:rFonts w:hint="eastAsia" w:ascii="宋体" w:hAnsi="宋体" w:eastAsia="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val="en-US" w:eastAsia="zh-CN"/>
          <w14:textFill>
            <w14:solidFill>
              <w14:schemeClr w14:val="tx1"/>
            </w14:solidFill>
          </w14:textFill>
        </w:rPr>
        <w:t>甲乙双方各执贰份</w:t>
      </w:r>
      <w:r>
        <w:rPr>
          <w:rFonts w:hint="eastAsia" w:ascii="宋体" w:hAnsi="宋体" w:eastAsia="宋体" w:cs="宋体"/>
          <w:color w:val="000000" w:themeColor="text1"/>
          <w:szCs w:val="21"/>
          <w:highlight w:val="none"/>
          <w14:textFill>
            <w14:solidFill>
              <w14:schemeClr w14:val="tx1"/>
            </w14:solidFill>
          </w14:textFill>
        </w:rPr>
        <w:t>，具有同等法律效力。本协议自</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方盖章并签字之日起生效。本协议未尽事宜，甲、乙双方可另行协商解决。</w:t>
      </w:r>
    </w:p>
    <w:p>
      <w:pPr>
        <w:pStyle w:val="23"/>
        <w:spacing w:line="360" w:lineRule="auto"/>
        <w:ind w:firstLine="20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pPr>
        <w:tabs>
          <w:tab w:val="left" w:pos="4140"/>
        </w:tabs>
        <w:spacing w:line="360" w:lineRule="auto"/>
        <w:ind w:firstLine="20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（以下为合同签署页，无正文）</w:t>
      </w:r>
    </w:p>
    <w:p>
      <w:pPr>
        <w:pStyle w:val="23"/>
        <w:spacing w:line="360" w:lineRule="auto"/>
        <w:ind w:firstLine="20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pStyle w:val="29"/>
        <w:rPr>
          <w:rFonts w:hint="eastAsia" w:ascii="宋体" w:hAnsi="宋体" w:eastAsia="宋体" w:cs="宋体"/>
          <w:color w:val="000000" w:themeColor="text1"/>
          <w:sz w:val="21"/>
          <w:szCs w:val="21"/>
          <w:highlight w:val="none"/>
          <w14:textFill>
            <w14:solidFill>
              <w14:schemeClr w14:val="tx1"/>
            </w14:solidFill>
          </w14:textFill>
        </w:rPr>
      </w:pPr>
    </w:p>
    <w:p>
      <w:pPr>
        <w:pStyle w:val="29"/>
        <w:rPr>
          <w:rFonts w:hint="eastAsia" w:ascii="宋体" w:hAnsi="宋体" w:eastAsia="宋体" w:cs="宋体"/>
          <w:color w:val="000000" w:themeColor="text1"/>
          <w:sz w:val="21"/>
          <w:szCs w:val="21"/>
          <w:highlight w:val="none"/>
          <w14:textFill>
            <w14:solidFill>
              <w14:schemeClr w14:val="tx1"/>
            </w14:solidFill>
          </w14:textFill>
        </w:rPr>
      </w:pP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9"/>
        <w:gridCol w:w="4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18"/>
              <w:tabs>
                <w:tab w:val="left" w:pos="6892"/>
              </w:tabs>
              <w:spacing w:before="0" w:after="0"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18"/>
              <w:tabs>
                <w:tab w:val="left" w:pos="6892"/>
              </w:tabs>
              <w:spacing w:before="0"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23"/>
              <w:tabs>
                <w:tab w:val="left" w:pos="7033"/>
              </w:tabs>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23"/>
              <w:tabs>
                <w:tab w:val="left" w:pos="7254"/>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w:t>
            </w: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2"/>
                <w:sz w:val="21"/>
                <w:szCs w:val="21"/>
                <w:highlight w:val="none"/>
                <w14:textFill>
                  <w14:solidFill>
                    <w14:schemeClr w14:val="tx1"/>
                  </w14:solidFill>
                </w14:textFill>
              </w:rPr>
              <w:t>代</w:t>
            </w:r>
            <w:r>
              <w:rPr>
                <w:rFonts w:hint="eastAsia" w:ascii="宋体" w:hAnsi="宋体" w:eastAsia="宋体" w:cs="宋体"/>
                <w:color w:val="000000" w:themeColor="text1"/>
                <w:spacing w:val="-1"/>
                <w:sz w:val="21"/>
                <w:szCs w:val="21"/>
                <w:highlight w:val="none"/>
                <w14:textFill>
                  <w14:solidFill>
                    <w14:schemeClr w14:val="tx1"/>
                  </w14:solidFill>
                </w14:textFill>
              </w:rPr>
              <w:t>表</w:t>
            </w:r>
            <w:r>
              <w:rPr>
                <w:rFonts w:hint="eastAsia" w:ascii="宋体" w:hAnsi="宋体" w:eastAsia="宋体" w:cs="宋体"/>
                <w:color w:val="000000" w:themeColor="text1"/>
                <w:spacing w:val="-3"/>
                <w:sz w:val="21"/>
                <w:szCs w:val="21"/>
                <w:highlight w:val="none"/>
                <w14:textFill>
                  <w14:solidFill>
                    <w14:schemeClr w14:val="tx1"/>
                  </w14:solidFill>
                </w14:textFill>
              </w:rPr>
              <w:t>人</w:t>
            </w:r>
            <w:r>
              <w:rPr>
                <w:rFonts w:hint="eastAsia" w:ascii="宋体" w:hAnsi="宋体" w:eastAsia="宋体" w:cs="宋体"/>
                <w:color w:val="000000" w:themeColor="text1"/>
                <w:spacing w:val="-1"/>
                <w:sz w:val="21"/>
                <w:szCs w:val="21"/>
                <w:highlight w:val="none"/>
                <w14:textFill>
                  <w14:solidFill>
                    <w14:schemeClr w14:val="tx1"/>
                  </w14:solidFill>
                </w14:textFill>
              </w:rPr>
              <w:t>或授</w:t>
            </w:r>
            <w:r>
              <w:rPr>
                <w:rFonts w:hint="eastAsia" w:ascii="宋体" w:hAnsi="宋体" w:eastAsia="宋体" w:cs="宋体"/>
                <w:color w:val="000000" w:themeColor="text1"/>
                <w:spacing w:val="-3"/>
                <w:sz w:val="21"/>
                <w:szCs w:val="21"/>
                <w:highlight w:val="none"/>
                <w14:textFill>
                  <w14:solidFill>
                    <w14:schemeClr w14:val="tx1"/>
                  </w14:solidFill>
                </w14:textFill>
              </w:rPr>
              <w:t>权</w:t>
            </w:r>
            <w:r>
              <w:rPr>
                <w:rFonts w:hint="eastAsia" w:ascii="宋体" w:hAnsi="宋体" w:eastAsia="宋体" w:cs="宋体"/>
                <w:color w:val="000000" w:themeColor="text1"/>
                <w:spacing w:val="-1"/>
                <w:sz w:val="21"/>
                <w:szCs w:val="21"/>
                <w:highlight w:val="none"/>
                <w14:textFill>
                  <w14:solidFill>
                    <w14:schemeClr w14:val="tx1"/>
                  </w14:solidFill>
                </w14:textFill>
              </w:rPr>
              <w:t>代表</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签字）：</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2500" w:type="pct"/>
            <w:vAlign w:val="top"/>
          </w:tcPr>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0"/>
              <w:spacing w:after="0" w:line="360" w:lineRule="auto"/>
              <w:ind w:left="0" w:leftChars="0" w:firstLine="0" w:firstLineChars="0"/>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见证方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2500" w:type="pct"/>
            <w:vAlign w:val="top"/>
          </w:tcPr>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0"/>
              <w:spacing w:after="0"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法定代表人或授权代表（签字）：</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p>
        </w:tc>
        <w:tc>
          <w:tcPr>
            <w:tcW w:w="2500" w:type="pct"/>
            <w:vAlign w:val="top"/>
          </w:tcPr>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0"/>
              <w:spacing w:after="0" w:line="360" w:lineRule="auto"/>
              <w:rPr>
                <w:rFonts w:hint="eastAsia" w:ascii="宋体" w:hAnsi="宋体" w:eastAsia="宋体" w:cs="宋体"/>
                <w:color w:val="000000" w:themeColor="text1"/>
                <w:spacing w:val="-2"/>
                <w:sz w:val="21"/>
                <w:szCs w:val="21"/>
                <w:highlight w:val="none"/>
                <w14:textFill>
                  <w14:solidFill>
                    <w14:schemeClr w14:val="tx1"/>
                  </w14:solidFill>
                </w14:textFill>
              </w:rPr>
            </w:pPr>
          </w:p>
        </w:tc>
        <w:tc>
          <w:tcPr>
            <w:tcW w:w="2500" w:type="pct"/>
            <w:vAlign w:val="top"/>
          </w:tcPr>
          <w:p>
            <w:pPr>
              <w:pStyle w:val="40"/>
              <w:spacing w:after="0"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0"/>
              <w:spacing w:after="0" w:line="360" w:lineRule="auto"/>
              <w:rPr>
                <w:rFonts w:hint="eastAsia" w:ascii="宋体" w:hAnsi="宋体" w:eastAsia="宋体" w:cs="宋体"/>
                <w:color w:val="000000" w:themeColor="text1"/>
                <w:spacing w:val="-2"/>
                <w:sz w:val="21"/>
                <w:szCs w:val="21"/>
                <w:highlight w:val="none"/>
                <w14:textFill>
                  <w14:solidFill>
                    <w14:schemeClr w14:val="tx1"/>
                  </w14:solidFill>
                </w14:textFill>
              </w:rPr>
            </w:pPr>
          </w:p>
        </w:tc>
        <w:tc>
          <w:tcPr>
            <w:tcW w:w="2500" w:type="pct"/>
            <w:vAlign w:val="top"/>
          </w:tcPr>
          <w:p>
            <w:pPr>
              <w:pStyle w:val="40"/>
              <w:spacing w:after="0" w:line="360" w:lineRule="auto"/>
              <w:jc w:val="right"/>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sz w:val="24"/>
                <w:szCs w:val="24"/>
                <w:highlight w:val="none"/>
              </w:rPr>
              <w:t xml:space="preserve"> 年    月    日</w:t>
            </w:r>
          </w:p>
        </w:tc>
      </w:tr>
    </w:tbl>
    <w:p>
      <w:pPr>
        <w:pStyle w:val="40"/>
        <w:spacing w:after="0"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p>
      <w:pPr>
        <w:pStyle w:val="40"/>
        <w:spacing w:after="0" w:line="360" w:lineRule="auto"/>
        <w:ind w:left="0" w:firstLine="200"/>
        <w:rPr>
          <w:rFonts w:hint="eastAsia" w:ascii="宋体" w:hAnsi="宋体" w:eastAsia="宋体" w:cs="宋体"/>
          <w:color w:val="000000" w:themeColor="text1"/>
          <w:sz w:val="21"/>
          <w:szCs w:val="21"/>
          <w:highlight w:val="none"/>
          <w14:textFill>
            <w14:solidFill>
              <w14:schemeClr w14:val="tx1"/>
            </w14:solidFill>
          </w14:textFill>
        </w:rPr>
      </w:pPr>
    </w:p>
    <w:p>
      <w:pPr>
        <w:pStyle w:val="23"/>
        <w:spacing w:line="360" w:lineRule="auto"/>
        <w:ind w:firstLine="200"/>
        <w:rPr>
          <w:rFonts w:hint="eastAsia" w:ascii="宋体" w:hAnsi="宋体" w:eastAsia="宋体" w:cs="宋体"/>
          <w:b/>
          <w:color w:val="000000" w:themeColor="text1"/>
          <w:sz w:val="21"/>
          <w:szCs w:val="21"/>
          <w:highlight w:val="none"/>
          <w14:textFill>
            <w14:solidFill>
              <w14:schemeClr w14:val="tx1"/>
            </w14:solidFill>
          </w14:textFill>
        </w:rPr>
      </w:pPr>
    </w:p>
    <w:p>
      <w:pPr>
        <w:pStyle w:val="26"/>
        <w:rPr>
          <w:rFonts w:hint="eastAsia"/>
          <w:i w:val="0"/>
          <w:iCs w:val="0"/>
          <w:sz w:val="24"/>
          <w:szCs w:val="24"/>
          <w:highlight w:val="none"/>
        </w:rPr>
      </w:pPr>
    </w:p>
    <w:p>
      <w:pPr>
        <w:rPr>
          <w:rFonts w:hint="eastAsia"/>
        </w:rPr>
      </w:pPr>
    </w:p>
    <w:p>
      <w:pPr>
        <w:pStyle w:val="23"/>
        <w:tabs>
          <w:tab w:val="left" w:pos="7254"/>
        </w:tabs>
        <w:spacing w:line="360" w:lineRule="auto"/>
        <w:ind w:firstLine="20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p>
    <w:p>
      <w:pPr>
        <w:pStyle w:val="23"/>
        <w:tabs>
          <w:tab w:val="left" w:pos="2911"/>
          <w:tab w:val="left" w:pos="3683"/>
          <w:tab w:val="left" w:pos="4451"/>
        </w:tabs>
        <w:spacing w:line="360" w:lineRule="auto"/>
        <w:ind w:firstLine="200"/>
        <w:jc w:val="right"/>
        <w:rPr>
          <w:rFonts w:hint="eastAsia" w:hAnsi="宋体" w:cs="宋体"/>
          <w:i w:val="0"/>
          <w:iCs w:val="0"/>
          <w:sz w:val="24"/>
          <w:szCs w:val="24"/>
          <w:highlight w:val="none"/>
        </w:rPr>
      </w:pPr>
    </w:p>
    <w:p>
      <w:pPr>
        <w:pStyle w:val="23"/>
        <w:tabs>
          <w:tab w:val="left" w:pos="2911"/>
          <w:tab w:val="left" w:pos="3683"/>
          <w:tab w:val="left" w:pos="4451"/>
        </w:tabs>
        <w:spacing w:line="360" w:lineRule="auto"/>
        <w:ind w:firstLine="200"/>
        <w:jc w:val="right"/>
        <w:rPr>
          <w:rFonts w:hint="eastAsia" w:hAnsi="宋体" w:cs="宋体"/>
          <w:i w:val="0"/>
          <w:iCs w:val="0"/>
          <w:sz w:val="24"/>
          <w:szCs w:val="24"/>
          <w:highlight w:val="none"/>
        </w:rPr>
      </w:pPr>
    </w:p>
    <w:p>
      <w:pPr>
        <w:rPr>
          <w:rFonts w:hint="eastAsia" w:hAnsi="宋体" w:cs="宋体"/>
          <w:i w:val="0"/>
          <w:iCs w:val="0"/>
          <w:sz w:val="24"/>
          <w:szCs w:val="24"/>
          <w:highlight w:val="none"/>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pStyle w:val="23"/>
        <w:spacing w:before="211"/>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附件：项目营销人员配置表</w:t>
      </w:r>
    </w:p>
    <w:p>
      <w:pPr>
        <w:pStyle w:val="33"/>
        <w:pBdr>
          <w:bottom w:val="none" w:color="auto" w:sz="0" w:space="0"/>
        </w:pBdr>
        <w:tabs>
          <w:tab w:val="left" w:pos="3960"/>
        </w:tabs>
        <w:spacing w:line="360" w:lineRule="auto"/>
        <w:jc w:val="both"/>
        <w:rPr>
          <w:rFonts w:hint="eastAsia" w:ascii="宋体" w:hAnsi="宋体" w:eastAsia="宋体" w:cs="宋体"/>
          <w:color w:val="000000" w:themeColor="text1"/>
          <w:sz w:val="22"/>
          <w:szCs w:val="22"/>
          <w:highlight w:val="none"/>
          <w:u w:color="000000"/>
          <w:lang w:val="zh-TW"/>
          <w14:textFill>
            <w14:solidFill>
              <w14:schemeClr w14:val="tx1"/>
            </w14:solidFill>
          </w14:textFill>
        </w:rPr>
      </w:pPr>
    </w:p>
    <w:p>
      <w:pPr>
        <w:pStyle w:val="2"/>
        <w:ind w:firstLine="0" w:firstLineChars="0"/>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6"/>
          <w:highlight w:val="none"/>
          <w14:textFill>
            <w14:solidFill>
              <w14:schemeClr w14:val="tx1"/>
            </w14:solidFill>
          </w14:textFill>
        </w:rPr>
      </w:pPr>
      <w:bookmarkStart w:id="124" w:name="_Toc17960"/>
      <w:r>
        <w:rPr>
          <w:rFonts w:hint="eastAsia" w:ascii="宋体" w:hAnsi="宋体" w:eastAsia="宋体" w:cs="宋体"/>
          <w:b/>
          <w:color w:val="000000" w:themeColor="text1"/>
          <w:sz w:val="36"/>
          <w:highlight w:val="none"/>
          <w14:textFill>
            <w14:solidFill>
              <w14:schemeClr w14:val="tx1"/>
            </w14:solidFill>
          </w14:textFill>
        </w:rPr>
        <w:br w:type="page"/>
      </w:r>
    </w:p>
    <w:bookmarkEnd w:id="48"/>
    <w:bookmarkEnd w:id="49"/>
    <w:bookmarkEnd w:id="50"/>
    <w:bookmarkEnd w:id="124"/>
    <w:p>
      <w:pPr>
        <w:jc w:val="center"/>
        <w:outlineLvl w:val="0"/>
        <w:rPr>
          <w:rFonts w:hint="eastAsia" w:ascii="宋体" w:hAnsi="宋体" w:eastAsia="宋体" w:cs="宋体"/>
          <w:b/>
          <w:color w:val="000000" w:themeColor="text1"/>
          <w:sz w:val="36"/>
          <w:highlight w:val="none"/>
          <w14:textFill>
            <w14:solidFill>
              <w14:schemeClr w14:val="tx1"/>
            </w14:solidFill>
          </w14:textFill>
        </w:rPr>
      </w:pPr>
      <w:bookmarkStart w:id="125" w:name="_Toc7342"/>
      <w:bookmarkStart w:id="126" w:name="_Toc497133122"/>
      <w:bookmarkStart w:id="127" w:name="_Toc27735"/>
      <w:bookmarkStart w:id="128" w:name="_Toc22592"/>
      <w:r>
        <w:rPr>
          <w:rFonts w:hint="eastAsia" w:ascii="宋体" w:hAnsi="宋体" w:eastAsia="宋体" w:cs="宋体"/>
          <w:b/>
          <w:color w:val="000000" w:themeColor="text1"/>
          <w:sz w:val="36"/>
          <w:highlight w:val="none"/>
          <w14:textFill>
            <w14:solidFill>
              <w14:schemeClr w14:val="tx1"/>
            </w14:solidFill>
          </w14:textFill>
        </w:rPr>
        <w:t>项目需求</w:t>
      </w:r>
      <w:bookmarkEnd w:id="125"/>
    </w:p>
    <w:p>
      <w:pPr>
        <w:pStyle w:val="24"/>
        <w:spacing w:after="0" w:line="360" w:lineRule="auto"/>
        <w:ind w:left="0" w:leftChars="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一、服务期限</w:t>
      </w:r>
    </w:p>
    <w:p>
      <w:pPr>
        <w:tabs>
          <w:tab w:val="left" w:pos="1824"/>
        </w:tabs>
        <w:spacing w:line="360" w:lineRule="auto"/>
        <w:ind w:firstLine="488"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自合同签订生效之日起至本项目最后一批住宅集中交付后1个月截止（不超过</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spacing w:val="2"/>
          <w:sz w:val="24"/>
          <w:szCs w:val="24"/>
          <w:highlight w:val="none"/>
          <w14:textFill>
            <w14:solidFill>
              <w14:schemeClr w14:val="tx1"/>
            </w14:solidFill>
          </w14:textFill>
        </w:rPr>
        <w:t>个月）。</w:t>
      </w:r>
    </w:p>
    <w:p>
      <w:pPr>
        <w:pStyle w:val="28"/>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二、服务内容</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包含但不限于以下主要列举：</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（一）营销计划管理，包括营销阶段性划分、战术部署及促销手法建议、整盘销售策略、价格策略制定、销售计划、开盘方案、示范区方案等；</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（二）市场研究分析：对区域市场、重点板块、主要竞品的销售情况进行动态跟踪，定期出具市场报告，提供市场策略建议；</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（三）营销团队组建：根据乙方的管理经验，建立符合项目需求的营销团队、制定相关管理制度，并在销售期内完成甲方对乙方要求的销售工作；</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（四）销售流程管理：包括认购、签约、按揭、退房、换房、加名减名、抵押登记、验收交房等；</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（五）销售数据管理：包括客户判定、客户信息管理、合同档案管理等日常工作；</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（六）客户关系维护：乙方需设置或聘用客户服务人员，在服务期内对销售工作进行风险控制管理，及有效处理服务期内客户涉及营销服务范围内的投诉并提升客户满意度；</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（七）房屋交付工作：项目交付时，乙方须配合甲方完成本案的房屋交付工作。</w:t>
      </w:r>
    </w:p>
    <w:p>
      <w:pPr>
        <w:pStyle w:val="158"/>
        <w:tabs>
          <w:tab w:val="left" w:pos="1824"/>
        </w:tabs>
        <w:spacing w:line="360" w:lineRule="auto"/>
        <w:ind w:left="0" w:firstLine="482"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三、服务要求</w:t>
      </w:r>
      <w:r>
        <w:rPr>
          <w:rFonts w:hint="eastAsia" w:ascii="宋体" w:hAnsi="宋体" w:eastAsia="宋体" w:cs="宋体"/>
          <w:b/>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合同生效</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后，自接到甲方通知5</w:t>
      </w:r>
      <w:r>
        <w:rPr>
          <w:rFonts w:hint="eastAsia" w:ascii="宋体" w:hAnsi="宋体" w:eastAsia="宋体" w:cs="宋体"/>
          <w:color w:val="000000" w:themeColor="text1"/>
          <w:spacing w:val="2"/>
          <w:sz w:val="24"/>
          <w:szCs w:val="24"/>
          <w:highlight w:val="none"/>
          <w14:textFill>
            <w14:solidFill>
              <w14:schemeClr w14:val="tx1"/>
            </w14:solidFill>
          </w14:textFill>
        </w:rPr>
        <w:t>日内乙方派驻首批营销团队，首批营销团队到岗后15日内将项目整盘营销策划管理及推售方案提交甲方确认（包括项目首次开盘销售计划），作为项目服务期内销售考核制定的参考依据。</w:t>
      </w:r>
    </w:p>
    <w:p>
      <w:pPr>
        <w:pStyle w:val="158"/>
        <w:tabs>
          <w:tab w:val="left" w:pos="1824"/>
        </w:tabs>
        <w:spacing w:line="360" w:lineRule="auto"/>
        <w:ind w:left="0" w:firstLine="488"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（一）本项目整体开发、分期销售，预计项目在取得施工许可证（注：如项目停滞，则须按实际情况约定开工参照节点）后【6】个月内具备领取预售许可证的前置条件，具体开盘时间以</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pacing w:val="2"/>
          <w:sz w:val="24"/>
          <w:szCs w:val="24"/>
          <w:highlight w:val="none"/>
          <w14:textFill>
            <w14:solidFill>
              <w14:schemeClr w14:val="tx1"/>
            </w14:solidFill>
          </w14:textFill>
        </w:rPr>
        <w:t>正式确认的开盘方案为准；</w:t>
      </w:r>
    </w:p>
    <w:p>
      <w:pPr>
        <w:pStyle w:val="158"/>
        <w:tabs>
          <w:tab w:val="left" w:pos="1824"/>
        </w:tabs>
        <w:spacing w:line="360" w:lineRule="auto"/>
        <w:ind w:left="0" w:firstLine="488"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（二）在合同生效之日起【60】日内，投标人提供售楼中心和样板房软装设计方案意见提交甲方确认，投标人提供看房通道装饰设计方案意见提交甲方确认；</w:t>
      </w:r>
    </w:p>
    <w:p>
      <w:pPr>
        <w:pStyle w:val="158"/>
        <w:tabs>
          <w:tab w:val="left" w:pos="1824"/>
        </w:tabs>
        <w:spacing w:line="360" w:lineRule="auto"/>
        <w:ind w:left="0" w:firstLine="488"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（三）项目首开前【30】日，投标人应结合全盘销售计划提交详细的首开销售计划、销售平均底价、销售折扣政策，经双方确认后作为考核依据，该首开销售计划作为合同附件，与本合同具备等同法律效力；</w:t>
      </w:r>
    </w:p>
    <w:p>
      <w:pPr>
        <w:pStyle w:val="158"/>
        <w:tabs>
          <w:tab w:val="left" w:pos="1824"/>
        </w:tabs>
        <w:spacing w:line="360" w:lineRule="auto"/>
        <w:ind w:left="0" w:firstLine="488" w:firstLineChars="2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（四）投标人可根据上一批次销售情况制定后续批次详细销售计划,并在销售前【15】日提交甲方签字确认，作为后续批次的考核依据。</w:t>
      </w:r>
    </w:p>
    <w:p>
      <w:pPr>
        <w:pStyle w:val="158"/>
        <w:tabs>
          <w:tab w:val="left" w:pos="1824"/>
        </w:tabs>
        <w:spacing w:line="360" w:lineRule="auto"/>
        <w:ind w:left="0" w:firstLine="482" w:firstLineChars="200"/>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四、营销人员配置要求</w:t>
      </w:r>
    </w:p>
    <w:tbl>
      <w:tblPr>
        <w:tblStyle w:val="42"/>
        <w:tblW w:w="5057" w:type="pct"/>
        <w:tblInd w:w="0" w:type="dxa"/>
        <w:tblLayout w:type="fixed"/>
        <w:tblCellMar>
          <w:top w:w="0" w:type="dxa"/>
          <w:left w:w="0" w:type="dxa"/>
          <w:bottom w:w="0" w:type="dxa"/>
          <w:right w:w="0" w:type="dxa"/>
        </w:tblCellMar>
      </w:tblPr>
      <w:tblGrid>
        <w:gridCol w:w="2139"/>
        <w:gridCol w:w="2090"/>
        <w:gridCol w:w="1292"/>
        <w:gridCol w:w="4366"/>
      </w:tblGrid>
      <w:tr>
        <w:tblPrEx>
          <w:tblCellMar>
            <w:top w:w="0" w:type="dxa"/>
            <w:left w:w="0" w:type="dxa"/>
            <w:bottom w:w="0" w:type="dxa"/>
            <w:right w:w="0" w:type="dxa"/>
          </w:tblCellMar>
        </w:tblPrEx>
        <w:trPr>
          <w:trHeight w:val="39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营销人员配置表</w:t>
            </w:r>
          </w:p>
        </w:tc>
      </w:tr>
      <w:tr>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类别</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人数</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CellMar>
            <w:top w:w="0" w:type="dxa"/>
            <w:left w:w="0" w:type="dxa"/>
            <w:bottom w:w="0" w:type="dxa"/>
            <w:right w:w="0" w:type="dxa"/>
          </w:tblCellMar>
        </w:tblPrEx>
        <w:trPr>
          <w:trHeight w:val="390" w:hRule="atLeast"/>
        </w:trPr>
        <w:tc>
          <w:tcPr>
            <w:tcW w:w="108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销售端</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营销总监</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1081" w:type="pct"/>
            <w:vMerge w:val="continue"/>
            <w:tcBorders>
              <w:left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经理</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bottom"/>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1081" w:type="pct"/>
            <w:vMerge w:val="continue"/>
            <w:tcBorders>
              <w:left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bottom"/>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w:t>
            </w:r>
            <w:r>
              <w:rPr>
                <w:rFonts w:hint="eastAsia" w:ascii="宋体" w:hAnsi="宋体" w:eastAsia="宋体" w:cs="宋体"/>
                <w:color w:val="000000" w:themeColor="text1"/>
                <w:sz w:val="24"/>
                <w:szCs w:val="24"/>
                <w:highlight w:val="none"/>
                <w:lang w:val="en-US" w:eastAsia="zh-CN"/>
                <w14:textFill>
                  <w14:solidFill>
                    <w14:schemeClr w14:val="tx1"/>
                  </w14:solidFill>
                </w14:textFill>
              </w:rPr>
              <w:t>主管</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bottom"/>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both"/>
              <w:textAlignment w:val="bottom"/>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参与销售</w:t>
            </w:r>
          </w:p>
        </w:tc>
      </w:tr>
      <w:tr>
        <w:tblPrEx>
          <w:tblCellMar>
            <w:top w:w="0" w:type="dxa"/>
            <w:left w:w="0" w:type="dxa"/>
            <w:bottom w:w="0" w:type="dxa"/>
            <w:right w:w="0" w:type="dxa"/>
          </w:tblCellMar>
        </w:tblPrEx>
        <w:trPr>
          <w:trHeight w:val="390" w:hRule="atLeast"/>
        </w:trPr>
        <w:tc>
          <w:tcPr>
            <w:tcW w:w="108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销售人员</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后台</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销售助理</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合计</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p>
        </w:tc>
        <w:tc>
          <w:tcPr>
            <w:tcW w:w="22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备注：以上人员配置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为项目营销人员最低要求，</w:t>
            </w:r>
            <w:r>
              <w:rPr>
                <w:rFonts w:hint="eastAsia" w:ascii="宋体" w:hAnsi="宋体" w:eastAsia="宋体" w:cs="宋体"/>
                <w:color w:val="000000" w:themeColor="text1"/>
                <w:sz w:val="24"/>
                <w:szCs w:val="24"/>
                <w:highlight w:val="none"/>
                <w14:textFill>
                  <w14:solidFill>
                    <w14:schemeClr w14:val="tx1"/>
                  </w14:solidFill>
                </w14:textFill>
              </w:rPr>
              <w:t>投标单位根据首次开盘前、首次开盘、持销期、尾盘等不同阶段进行调整，持续销售期人员配置数量及标准不得低于此表要求。</w:t>
            </w:r>
          </w:p>
        </w:tc>
      </w:tr>
    </w:tbl>
    <w:p>
      <w:pPr>
        <w:pStyle w:val="158"/>
        <w:tabs>
          <w:tab w:val="left" w:pos="1824"/>
        </w:tabs>
        <w:spacing w:line="360" w:lineRule="auto"/>
        <w:ind w:left="0" w:firstLine="428" w:firstLineChars="200"/>
        <w:rPr>
          <w:rFonts w:hint="default" w:ascii="宋体" w:hAnsi="宋体" w:cs="宋体"/>
          <w:color w:val="000000" w:themeColor="text1"/>
          <w:spacing w:val="2"/>
          <w:highlight w:val="none"/>
          <w:lang w:val="en-US" w:eastAsia="zh-CN"/>
          <w14:textFill>
            <w14:solidFill>
              <w14:schemeClr w14:val="tx1"/>
            </w14:solidFill>
          </w14:textFill>
        </w:rPr>
      </w:pP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p>
    <w:p>
      <w:pPr>
        <w:pStyle w:val="158"/>
        <w:tabs>
          <w:tab w:val="left" w:pos="1824"/>
        </w:tabs>
        <w:spacing w:line="360" w:lineRule="auto"/>
        <w:ind w:left="0" w:firstLine="428" w:firstLineChars="200"/>
        <w:rPr>
          <w:rFonts w:hint="eastAsia" w:ascii="宋体" w:hAnsi="宋体" w:eastAsia="宋体" w:cs="宋体"/>
          <w:color w:val="000000" w:themeColor="text1"/>
          <w:spacing w:val="2"/>
          <w:highlight w:val="none"/>
          <w14:textFill>
            <w14:solidFill>
              <w14:schemeClr w14:val="tx1"/>
            </w14:solidFill>
          </w14:textFill>
        </w:rPr>
      </w:pPr>
    </w:p>
    <w:p>
      <w:pPr>
        <w:rPr>
          <w:rFonts w:hint="eastAsia" w:ascii="宋体" w:hAnsi="宋体" w:eastAsia="宋体" w:cs="宋体"/>
          <w:color w:val="000000" w:themeColor="text1"/>
          <w:sz w:val="36"/>
          <w:highlight w:val="yellow"/>
          <w14:textFill>
            <w14:solidFill>
              <w14:schemeClr w14:val="tx1"/>
            </w14:solidFill>
          </w14:textFill>
        </w:rPr>
      </w:pPr>
      <w:r>
        <w:rPr>
          <w:rFonts w:hint="eastAsia" w:ascii="宋体" w:hAnsi="宋体" w:eastAsia="宋体" w:cs="宋体"/>
          <w:color w:val="000000" w:themeColor="text1"/>
          <w:sz w:val="36"/>
          <w:highlight w:val="yellow"/>
          <w14:textFill>
            <w14:solidFill>
              <w14:schemeClr w14:val="tx1"/>
            </w14:solidFill>
          </w14:textFill>
        </w:rPr>
        <w:br w:type="page"/>
      </w:r>
    </w:p>
    <w:p>
      <w:pPr>
        <w:pStyle w:val="10"/>
        <w:spacing w:after="340" w:line="480" w:lineRule="auto"/>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第五章 评标方法及评标标准</w:t>
      </w:r>
      <w:bookmarkEnd w:id="126"/>
      <w:bookmarkEnd w:id="127"/>
      <w:bookmarkEnd w:id="128"/>
    </w:p>
    <w:p>
      <w:pPr>
        <w:pStyle w:val="161"/>
        <w:spacing w:before="0" w:after="0"/>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一、评标方法</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61"/>
        <w:spacing w:before="0" w:after="0"/>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二、评标标准</w:t>
      </w:r>
    </w:p>
    <w:tbl>
      <w:tblPr>
        <w:tblStyle w:val="42"/>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6"/>
        <w:gridCol w:w="8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71" w:type="pct"/>
          </w:tcPr>
          <w:p>
            <w:pPr>
              <w:keepLines/>
              <w:widowControl/>
              <w:jc w:val="center"/>
              <w:rPr>
                <w:rFonts w:hint="eastAsia" w:ascii="宋体" w:hAnsi="宋体" w:eastAsia="宋体" w:cs="宋体"/>
                <w:color w:val="000000" w:themeColor="text1"/>
                <w:szCs w:val="21"/>
                <w:highlight w:val="none"/>
                <w14:textFill>
                  <w14:solidFill>
                    <w14:schemeClr w14:val="tx1"/>
                  </w14:solidFill>
                </w14:textFill>
              </w:rPr>
            </w:pPr>
            <w:bookmarkStart w:id="129" w:name="_Toc497133123"/>
            <w:bookmarkStart w:id="130" w:name="_Toc18798"/>
            <w:r>
              <w:rPr>
                <w:rFonts w:hint="eastAsia" w:ascii="宋体" w:hAnsi="宋体" w:eastAsia="宋体" w:cs="宋体"/>
                <w:color w:val="000000" w:themeColor="text1"/>
                <w:szCs w:val="21"/>
                <w:highlight w:val="none"/>
                <w14:textFill>
                  <w14:solidFill>
                    <w14:schemeClr w14:val="tx1"/>
                  </w14:solidFill>
                </w14:textFill>
              </w:rPr>
              <w:t>项 目</w:t>
            </w:r>
          </w:p>
        </w:tc>
        <w:tc>
          <w:tcPr>
            <w:tcW w:w="4228" w:type="pct"/>
          </w:tcPr>
          <w:p>
            <w:pPr>
              <w:keepLines/>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评分标准（100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771" w:type="pct"/>
            <w:vAlign w:val="center"/>
          </w:tcPr>
          <w:p>
            <w:pPr>
              <w:keepLines/>
              <w:widowControl/>
              <w:rPr>
                <w:rFonts w:hint="eastAsia" w:ascii="宋体" w:hAnsi="宋体" w:eastAsia="宋体" w:cs="宋体"/>
                <w:color w:val="000000" w:themeColor="text1"/>
                <w:szCs w:val="21"/>
                <w:highlight w:val="none"/>
                <w14:textFill>
                  <w14:solidFill>
                    <w14:schemeClr w14:val="tx1"/>
                  </w14:solidFill>
                </w14:textFill>
              </w:rPr>
            </w:pPr>
          </w:p>
          <w:p>
            <w:pPr>
              <w:keepLines/>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 格</w:t>
            </w:r>
          </w:p>
          <w:p>
            <w:pPr>
              <w:keepLines/>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（20分）</w:t>
            </w:r>
          </w:p>
        </w:tc>
        <w:tc>
          <w:tcPr>
            <w:tcW w:w="4228" w:type="pct"/>
            <w:vAlign w:val="center"/>
          </w:tcPr>
          <w:p>
            <w:pPr>
              <w:keepLines/>
              <w:widowControl/>
              <w:ind w:right="187" w:rightChars="89"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以满足招标文件要求的最低投标报价（费率）为评标基准价，得满分20分,其他报价得分＝（评标基准价/其他投标价）×20×100%（保留两位小数）</w:t>
            </w:r>
          </w:p>
          <w:p>
            <w:pPr>
              <w:keepLines/>
              <w:widowControl/>
              <w:ind w:right="187" w:rightChars="89"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71" w:type="pct"/>
            <w:vAlign w:val="center"/>
          </w:tcPr>
          <w:p>
            <w:pPr>
              <w:keepLines/>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服务方案</w:t>
            </w:r>
          </w:p>
          <w:p>
            <w:pPr>
              <w:keepLines/>
              <w:widowControl/>
              <w:jc w:val="center"/>
              <w:rPr>
                <w:rFonts w:hint="eastAsia" w:ascii="宋体" w:hAnsi="宋体" w:eastAsia="宋体" w:cs="宋体"/>
                <w:color w:val="000000" w:themeColor="text1"/>
                <w:highlight w:val="none"/>
                <w:lang w:val="zh-TW"/>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（55分）</w:t>
            </w:r>
          </w:p>
        </w:tc>
        <w:tc>
          <w:tcPr>
            <w:tcW w:w="4228" w:type="pct"/>
            <w:vAlign w:val="center"/>
          </w:tcPr>
          <w:p>
            <w:pPr>
              <w:keepLines/>
              <w:widowControl/>
              <w:spacing w:line="271"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1、对本项目市场竞争分析情况赋分：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分析透彻、全面、准确、合理的得10分；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分析基本透彻、较全面、较准确、较合理的得6分；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分析不太透彻、全面、不太准确、不太合理的得2分，其余不得分。</w:t>
            </w:r>
          </w:p>
          <w:p>
            <w:pPr>
              <w:keepLines/>
              <w:widowControl/>
              <w:spacing w:line="271"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2、对本项目客户需求研究并绘制客户地图进行赋分：</w:t>
            </w:r>
          </w:p>
          <w:p>
            <w:pPr>
              <w:pStyle w:val="37"/>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分析透彻、全面、准确、合理的得5分；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分析基本透彻、较全面、较准确、较合理的得3分；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分析不太透彻、全面、不太准确、不太合理的得1分，其余不得分。</w:t>
            </w:r>
          </w:p>
          <w:p>
            <w:pPr>
              <w:keepLines/>
              <w:widowControl/>
              <w:spacing w:line="271"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3、对项目营销故事线梳理进行赋分：</w:t>
            </w:r>
          </w:p>
          <w:p>
            <w:pPr>
              <w:pStyle w:val="37"/>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分析透彻、全面、准确、合理的得10分；</w:t>
            </w:r>
          </w:p>
          <w:p>
            <w:pPr>
              <w:pStyle w:val="37"/>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分析基本透彻、较全面、较准确、较合理的得6分；</w:t>
            </w:r>
          </w:p>
          <w:p>
            <w:pPr>
              <w:pStyle w:val="37"/>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分析不太透彻、全面、不太准确、不太合理的得2分，其余不得分。</w:t>
            </w:r>
          </w:p>
          <w:p>
            <w:pPr>
              <w:keepLines/>
              <w:widowControl/>
              <w:spacing w:line="271" w:lineRule="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4、项目产品定位和价值梳理进行赋分：</w:t>
            </w:r>
          </w:p>
          <w:p>
            <w:pPr>
              <w:keepLines/>
              <w:widowControl/>
              <w:spacing w:line="271" w:lineRule="auto"/>
              <w:ind w:left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产品定位和价值梳理完全符合项目建设和销售要求的得10分；</w:t>
            </w:r>
          </w:p>
          <w:p>
            <w:pPr>
              <w:keepLines/>
              <w:widowControl/>
              <w:spacing w:line="271" w:lineRule="auto"/>
              <w:ind w:left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产品定位和价值梳理基本符合项目建设和销售要求的得6分；</w:t>
            </w:r>
          </w:p>
          <w:p>
            <w:pPr>
              <w:keepLines/>
              <w:widowControl/>
              <w:spacing w:line="271" w:lineRule="auto"/>
              <w:ind w:left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产品定位和价值梳理部分符合项目建设和销售要求的得2分，其余不得分；</w:t>
            </w:r>
          </w:p>
          <w:p>
            <w:pPr>
              <w:keepLines/>
              <w:widowControl/>
              <w:spacing w:line="271"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5、对项目营销策略方案进行赋分：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营销策略方案合理、可行的得10分；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营销策略方案较为合理、可行的得6分；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营销策略方案一般合理、可行的得2分，其余不得分；</w:t>
            </w:r>
          </w:p>
          <w:p>
            <w:pPr>
              <w:keepLines/>
              <w:widowControl/>
              <w:spacing w:line="271"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6、对项目首开推售计划、价格建议进行赋分：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销售计划合理、价格控制严谨的得10分；</w:t>
            </w:r>
          </w:p>
          <w:p>
            <w:pPr>
              <w:keepLines/>
              <w:widowControl/>
              <w:spacing w:line="271" w:lineRule="auto"/>
              <w:ind w:left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销售计划较为合理、价格控制较为严谨的得6分；</w:t>
            </w:r>
          </w:p>
          <w:p>
            <w:pPr>
              <w:pStyle w:val="182"/>
              <w:keepLines/>
              <w:tabs>
                <w:tab w:val="left" w:pos="720"/>
                <w:tab w:val="left" w:pos="1440"/>
                <w:tab w:val="left" w:pos="2160"/>
                <w:tab w:val="left" w:pos="2880"/>
              </w:tabs>
              <w:ind w:leftChars="200"/>
              <w:rPr>
                <w:rFonts w:hint="eastAsia" w:ascii="宋体" w:hAnsi="宋体" w:eastAsia="宋体" w:cs="宋体"/>
                <w:color w:val="000000" w:themeColor="text1"/>
                <w:kern w:val="2"/>
                <w:sz w:val="21"/>
                <w:szCs w:val="21"/>
                <w:highlight w:val="none"/>
                <w:shd w:val="clear" w:color="auto" w:fill="FEFFFF"/>
                <w:lang w:val="zh-TW" w:eastAsia="zh-TW"/>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销售计划一般合理、价格控制一般严谨的得2分</w:t>
            </w:r>
            <w:r>
              <w:rPr>
                <w:rFonts w:hint="eastAsia" w:ascii="宋体" w:hAnsi="宋体" w:eastAsia="宋体" w:cs="宋体"/>
                <w:color w:val="000000" w:themeColor="text1"/>
                <w:sz w:val="21"/>
                <w:szCs w:val="21"/>
                <w:highlight w:val="none"/>
                <w:lang w:bidi="ar"/>
                <w14:textFill>
                  <w14:solidFill>
                    <w14:schemeClr w14:val="tx1"/>
                  </w14:solidFill>
                </w14:textFill>
              </w:rPr>
              <w:t>，其余不得分</w:t>
            </w:r>
            <w:r>
              <w:rPr>
                <w:rFonts w:hint="eastAsia" w:ascii="宋体" w:hAnsi="宋体" w:eastAsia="宋体" w:cs="宋体"/>
                <w:color w:val="000000" w:themeColor="text1"/>
                <w:kern w:val="2"/>
                <w:sz w:val="21"/>
                <w:szCs w:val="21"/>
                <w:highlight w:val="none"/>
                <w:lang w:bidi="ar"/>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71" w:type="pct"/>
            <w:vAlign w:val="center"/>
          </w:tcPr>
          <w:p>
            <w:pPr>
              <w:keepLines/>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企业实力</w:t>
            </w:r>
          </w:p>
          <w:p>
            <w:pPr>
              <w:keepLines/>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（25分）</w:t>
            </w:r>
          </w:p>
        </w:tc>
        <w:tc>
          <w:tcPr>
            <w:tcW w:w="4228" w:type="pct"/>
            <w:vAlign w:val="center"/>
          </w:tcPr>
          <w:p>
            <w:pPr>
              <w:keepLines/>
              <w:widowControl/>
              <w:spacing w:line="271"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1、拟投入项目团队成员包括但不限于：项目营销总监、</w:t>
            </w:r>
            <w:r>
              <w:rPr>
                <w:rFonts w:hint="eastAsia" w:ascii="宋体" w:hAnsi="宋体" w:cs="宋体"/>
                <w:color w:val="auto"/>
                <w:szCs w:val="21"/>
                <w:highlight w:val="none"/>
                <w:lang w:val="en-US" w:eastAsia="zh-CN" w:bidi="ar"/>
              </w:rPr>
              <w:t>项目</w:t>
            </w:r>
            <w:r>
              <w:rPr>
                <w:rFonts w:hint="eastAsia" w:ascii="宋体" w:hAnsi="宋体" w:eastAsia="宋体" w:cs="宋体"/>
                <w:color w:val="auto"/>
                <w:szCs w:val="21"/>
                <w:highlight w:val="none"/>
                <w:lang w:bidi="ar"/>
              </w:rPr>
              <w:t>经理、</w:t>
            </w:r>
            <w:r>
              <w:rPr>
                <w:rFonts w:hint="eastAsia" w:ascii="宋体" w:hAnsi="宋体" w:cs="宋体"/>
                <w:color w:val="auto"/>
                <w:szCs w:val="21"/>
                <w:highlight w:val="none"/>
                <w:lang w:val="en-US" w:eastAsia="zh-CN" w:bidi="ar"/>
              </w:rPr>
              <w:t>销售主管、</w:t>
            </w:r>
            <w:r>
              <w:rPr>
                <w:rFonts w:hint="eastAsia" w:ascii="宋体" w:hAnsi="宋体" w:eastAsia="宋体" w:cs="宋体"/>
                <w:color w:val="auto"/>
                <w:szCs w:val="21"/>
                <w:highlight w:val="none"/>
                <w:lang w:val="en-US" w:eastAsia="zh-CN"/>
              </w:rPr>
              <w:t>销售助理</w:t>
            </w:r>
            <w:r>
              <w:rPr>
                <w:rFonts w:hint="eastAsia" w:ascii="宋体" w:hAnsi="宋体" w:eastAsia="宋体" w:cs="宋体"/>
                <w:color w:val="auto"/>
                <w:szCs w:val="21"/>
                <w:highlight w:val="none"/>
                <w:lang w:bidi="ar"/>
              </w:rPr>
              <w:t>、销售员等</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根据招标要求每增配1名销售主管加2分，每增配1名销售员（或助理）加1分，本项最高得6分。</w:t>
            </w:r>
            <w:r>
              <w:rPr>
                <w:rFonts w:hint="eastAsia" w:ascii="宋体" w:hAnsi="宋体" w:eastAsia="宋体" w:cs="宋体"/>
                <w:b/>
                <w:bCs/>
                <w:color w:val="auto"/>
                <w:szCs w:val="21"/>
                <w:highlight w:val="none"/>
                <w:lang w:bidi="ar"/>
              </w:rPr>
              <w:t>（投标人须提供所有拟投入人员简历表加盖投标人公章</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项目营销总监</w:t>
            </w:r>
            <w:r>
              <w:rPr>
                <w:rFonts w:hint="eastAsia" w:ascii="宋体" w:hAnsi="宋体" w:eastAsia="宋体" w:cs="宋体"/>
                <w:b/>
                <w:bCs w:val="0"/>
                <w:color w:val="auto"/>
                <w:szCs w:val="21"/>
                <w:highlight w:val="none"/>
              </w:rPr>
              <w:t>须</w:t>
            </w:r>
            <w:r>
              <w:rPr>
                <w:rFonts w:hint="eastAsia" w:ascii="宋体" w:hAnsi="宋体"/>
                <w:b/>
                <w:bCs/>
                <w:color w:val="auto"/>
                <w:highlight w:val="none"/>
                <w:lang w:val="en-US" w:eastAsia="zh-CN"/>
              </w:rPr>
              <w:t>提供2023年12月-2024年2月任意一个月的社保缴纳证明</w:t>
            </w:r>
            <w:r>
              <w:rPr>
                <w:rFonts w:hint="eastAsia" w:ascii="宋体" w:hAnsi="宋体" w:eastAsia="宋体" w:cs="宋体"/>
                <w:b/>
                <w:bCs/>
                <w:color w:val="auto"/>
                <w:szCs w:val="21"/>
                <w:highlight w:val="none"/>
                <w:lang w:bidi="ar"/>
              </w:rPr>
              <w:t>）</w:t>
            </w:r>
          </w:p>
          <w:p>
            <w:pPr>
              <w:keepLines/>
              <w:widowControl/>
              <w:spacing w:line="271"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lang w:bidi="ar"/>
              </w:rPr>
              <w:t>2、投标人承诺拟投入项目组成员现场办公的得</w:t>
            </w:r>
            <w:r>
              <w:rPr>
                <w:rFonts w:hint="eastAsia" w:ascii="宋体" w:hAnsi="宋体" w:cs="宋体"/>
                <w:color w:val="auto"/>
                <w:szCs w:val="21"/>
                <w:highlight w:val="none"/>
                <w:lang w:val="en-US" w:eastAsia="zh-CN" w:bidi="ar"/>
              </w:rPr>
              <w:t>7</w:t>
            </w:r>
            <w:r>
              <w:rPr>
                <w:rFonts w:hint="eastAsia" w:ascii="宋体" w:hAnsi="宋体" w:eastAsia="宋体" w:cs="宋体"/>
                <w:color w:val="auto"/>
                <w:szCs w:val="21"/>
                <w:highlight w:val="none"/>
                <w:lang w:bidi="ar"/>
              </w:rPr>
              <w:t>分，未承诺或承诺人员不齐全的不得分。（</w:t>
            </w:r>
            <w:r>
              <w:rPr>
                <w:rFonts w:hint="eastAsia" w:ascii="宋体" w:hAnsi="宋体" w:eastAsia="宋体" w:cs="宋体"/>
                <w:b/>
                <w:bCs/>
                <w:color w:val="auto"/>
                <w:szCs w:val="21"/>
                <w:highlight w:val="none"/>
                <w:lang w:bidi="ar"/>
              </w:rPr>
              <w:t>投标人须提供承诺书原件，格式自拟）</w:t>
            </w:r>
          </w:p>
          <w:p>
            <w:pPr>
              <w:keepLines/>
              <w:widowControl/>
              <w:spacing w:line="271" w:lineRule="auto"/>
              <w:ind w:firstLine="420" w:firstLineChars="200"/>
              <w:rPr>
                <w:rFonts w:hint="eastAsia"/>
                <w:color w:val="auto"/>
                <w:highlight w:val="none"/>
                <w:lang w:val="en-US" w:eastAsia="zh-CN"/>
              </w:rPr>
            </w:pPr>
            <w:r>
              <w:rPr>
                <w:rFonts w:hint="eastAsia" w:ascii="宋体" w:hAnsi="宋体" w:cs="宋体"/>
                <w:color w:val="auto"/>
                <w:szCs w:val="21"/>
                <w:highlight w:val="none"/>
                <w:lang w:val="en-US" w:eastAsia="zh-CN" w:bidi="ar"/>
              </w:rPr>
              <w:t>3</w:t>
            </w:r>
            <w:r>
              <w:rPr>
                <w:rFonts w:hint="eastAsia" w:ascii="宋体" w:hAnsi="宋体" w:eastAsia="宋体" w:cs="宋体"/>
                <w:color w:val="auto"/>
                <w:szCs w:val="21"/>
                <w:highlight w:val="none"/>
                <w:lang w:val="en-US" w:eastAsia="zh-CN" w:bidi="ar"/>
              </w:rPr>
              <w:t>、</w:t>
            </w:r>
            <w:r>
              <w:rPr>
                <w:rFonts w:hint="eastAsia" w:ascii="宋体" w:hAnsi="宋体" w:eastAsia="宋体" w:cs="宋体"/>
                <w:color w:val="auto"/>
                <w:szCs w:val="21"/>
                <w:highlight w:val="none"/>
                <w:lang w:bidi="ar"/>
              </w:rPr>
              <w:t>20</w:t>
            </w:r>
            <w:r>
              <w:rPr>
                <w:rFonts w:hint="eastAsia" w:ascii="宋体" w:hAnsi="宋体" w:eastAsia="宋体" w:cs="宋体"/>
                <w:color w:val="auto"/>
                <w:szCs w:val="21"/>
                <w:highlight w:val="none"/>
                <w:lang w:val="en-US" w:eastAsia="zh-CN" w:bidi="ar"/>
              </w:rPr>
              <w:t>21</w:t>
            </w:r>
            <w:r>
              <w:rPr>
                <w:rFonts w:hint="eastAsia" w:ascii="宋体" w:hAnsi="宋体" w:eastAsia="宋体" w:cs="宋体"/>
                <w:color w:val="auto"/>
                <w:szCs w:val="21"/>
                <w:highlight w:val="none"/>
                <w:lang w:bidi="ar"/>
              </w:rPr>
              <w:t>年1月1日以来，投标人承担过</w:t>
            </w:r>
            <w:r>
              <w:rPr>
                <w:rFonts w:hint="eastAsia" w:ascii="宋体" w:hAnsi="宋体" w:eastAsia="宋体" w:cs="宋体"/>
                <w:color w:val="auto"/>
                <w:szCs w:val="21"/>
                <w:highlight w:val="none"/>
                <w:lang w:val="en-US" w:eastAsia="zh-CN" w:bidi="ar"/>
              </w:rPr>
              <w:t>类似项目</w:t>
            </w:r>
            <w:r>
              <w:rPr>
                <w:rFonts w:hint="eastAsia" w:ascii="宋体" w:hAnsi="宋体" w:eastAsia="宋体" w:cs="宋体"/>
                <w:color w:val="auto"/>
                <w:szCs w:val="21"/>
                <w:highlight w:val="none"/>
                <w:lang w:bidi="ar"/>
              </w:rPr>
              <w:t>业绩</w:t>
            </w:r>
            <w:r>
              <w:rPr>
                <w:rFonts w:hint="eastAsia" w:ascii="宋体" w:hAnsi="宋体" w:eastAsia="宋体" w:cs="宋体"/>
                <w:color w:val="auto"/>
                <w:szCs w:val="21"/>
                <w:highlight w:val="none"/>
                <w:lang w:val="en-US" w:eastAsia="zh-CN" w:bidi="ar"/>
              </w:rPr>
              <w:t>的</w:t>
            </w:r>
            <w:r>
              <w:rPr>
                <w:rFonts w:hint="eastAsia" w:ascii="宋体" w:hAnsi="宋体" w:eastAsia="宋体" w:cs="宋体"/>
                <w:color w:val="auto"/>
                <w:szCs w:val="21"/>
                <w:highlight w:val="none"/>
                <w:lang w:bidi="ar"/>
              </w:rPr>
              <w:t>，每个得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分，本项最高得</w:t>
            </w:r>
            <w:r>
              <w:rPr>
                <w:rFonts w:hint="eastAsia" w:ascii="宋体" w:hAnsi="宋体" w:cs="宋体"/>
                <w:color w:val="auto"/>
                <w:szCs w:val="21"/>
                <w:highlight w:val="none"/>
                <w:lang w:val="en-US" w:eastAsia="zh-CN" w:bidi="ar"/>
              </w:rPr>
              <w:t>12</w:t>
            </w:r>
            <w:r>
              <w:rPr>
                <w:rFonts w:hint="eastAsia" w:ascii="宋体" w:hAnsi="宋体" w:eastAsia="宋体" w:cs="宋体"/>
                <w:color w:val="auto"/>
                <w:szCs w:val="21"/>
                <w:highlight w:val="none"/>
                <w:lang w:val="en-US" w:eastAsia="zh-CN" w:bidi="ar"/>
              </w:rPr>
              <w:t>分</w:t>
            </w:r>
            <w:r>
              <w:rPr>
                <w:rFonts w:hint="eastAsia" w:ascii="宋体" w:hAnsi="宋体" w:eastAsia="宋体" w:cs="宋体"/>
                <w:color w:val="auto"/>
                <w:szCs w:val="21"/>
                <w:highlight w:val="none"/>
                <w:lang w:bidi="ar"/>
              </w:rPr>
              <w:t>。</w:t>
            </w:r>
            <w:r>
              <w:rPr>
                <w:rFonts w:hint="eastAsia" w:ascii="宋体" w:hAnsi="宋体" w:eastAsia="宋体" w:cs="宋体"/>
                <w:b/>
                <w:bCs/>
                <w:color w:val="auto"/>
                <w:szCs w:val="21"/>
                <w:highlight w:val="none"/>
                <w:lang w:bidi="ar"/>
              </w:rPr>
              <w:t>（须附合同关键页复印件加盖单位公章，以合同签订时间为准</w:t>
            </w:r>
            <w:r>
              <w:rPr>
                <w:rFonts w:hint="eastAsia" w:ascii="宋体" w:hAnsi="宋体"/>
                <w:b/>
                <w:bCs/>
                <w:color w:val="auto"/>
                <w:szCs w:val="21"/>
                <w:highlight w:val="none"/>
              </w:rPr>
              <w:t>，</w:t>
            </w:r>
            <w:r>
              <w:rPr>
                <w:rFonts w:hint="eastAsia" w:ascii="宋体" w:hAnsi="宋体"/>
                <w:b/>
                <w:color w:val="auto"/>
                <w:szCs w:val="21"/>
                <w:highlight w:val="none"/>
              </w:rPr>
              <w:t>同时提供原件备查</w:t>
            </w:r>
            <w:r>
              <w:rPr>
                <w:rFonts w:hint="eastAsia" w:ascii="宋体" w:hAnsi="宋体" w:eastAsia="宋体" w:cs="宋体"/>
                <w:b/>
                <w:bCs/>
                <w:color w:val="auto"/>
                <w:szCs w:val="21"/>
                <w:highlight w:val="none"/>
                <w:lang w:bidi="ar"/>
              </w:rPr>
              <w:t>）</w:t>
            </w:r>
          </w:p>
        </w:tc>
      </w:tr>
    </w:tbl>
    <w:p>
      <w:pPr>
        <w:pStyle w:val="146"/>
        <w:wordWrap w:val="0"/>
        <w:adjustRightInd w:val="0"/>
        <w:snapToGrid w:val="0"/>
        <w:spacing w:line="360" w:lineRule="auto"/>
        <w:ind w:firstLine="0" w:firstLineChars="0"/>
        <w:jc w:val="left"/>
        <w:rPr>
          <w:rFonts w:hint="eastAsia" w:hAnsi="宋体" w:eastAsia="宋体" w:cs="宋体"/>
          <w:szCs w:val="21"/>
        </w:rPr>
      </w:pPr>
      <w:r>
        <w:rPr>
          <w:rFonts w:hint="eastAsia" w:hAnsi="宋体" w:eastAsia="宋体" w:cs="宋体"/>
          <w:szCs w:val="21"/>
        </w:rPr>
        <w:t>注：</w:t>
      </w:r>
    </w:p>
    <w:p>
      <w:pPr>
        <w:adjustRightInd w:val="0"/>
        <w:snapToGrid w:val="0"/>
        <w:spacing w:line="360" w:lineRule="auto"/>
        <w:ind w:firstLine="420" w:firstLineChars="200"/>
        <w:jc w:val="left"/>
        <w:rPr>
          <w:rFonts w:hint="eastAsia" w:hAnsi="宋体" w:cs="宋体"/>
          <w:color w:val="000000"/>
          <w:szCs w:val="21"/>
        </w:rPr>
      </w:pPr>
      <w:r>
        <w:rPr>
          <w:rFonts w:hint="eastAsia" w:hAnsi="宋体" w:cs="宋体"/>
          <w:color w:val="000000"/>
          <w:szCs w:val="21"/>
        </w:rPr>
        <w:t>1、评分标准中要求提供原件备查的，必须提供相关原件，否则与之对应项不得分。</w:t>
      </w:r>
    </w:p>
    <w:p>
      <w:pPr>
        <w:adjustRightInd w:val="0"/>
        <w:snapToGrid w:val="0"/>
        <w:spacing w:line="360" w:lineRule="auto"/>
        <w:ind w:firstLine="420" w:firstLineChars="200"/>
        <w:jc w:val="left"/>
        <w:rPr>
          <w:rFonts w:hint="eastAsia" w:hAnsi="宋体" w:cs="宋体"/>
          <w:color w:val="000000"/>
          <w:szCs w:val="21"/>
        </w:rPr>
      </w:pPr>
      <w:r>
        <w:rPr>
          <w:rFonts w:hint="eastAsia" w:hAnsi="宋体" w:cs="宋体"/>
          <w:color w:val="000000"/>
          <w:szCs w:val="21"/>
          <w:lang w:val="en-US" w:eastAsia="zh-CN"/>
        </w:rPr>
        <w:t>2</w:t>
      </w:r>
      <w:r>
        <w:rPr>
          <w:rFonts w:hint="eastAsia" w:hAnsi="宋体" w:cs="宋体"/>
          <w:color w:val="000000"/>
          <w:szCs w:val="21"/>
        </w:rPr>
        <w:t>、响应文件的正本和副本中均需提供相关原件的复印件加盖供应商公章。</w:t>
      </w:r>
    </w:p>
    <w:p>
      <w:pPr>
        <w:adjustRightInd w:val="0"/>
        <w:snapToGrid w:val="0"/>
        <w:spacing w:line="360" w:lineRule="auto"/>
        <w:ind w:firstLine="420" w:firstLineChars="200"/>
        <w:jc w:val="left"/>
        <w:rPr>
          <w:rFonts w:hint="eastAsia" w:hAnsi="宋体" w:cs="宋体"/>
          <w:color w:val="000000"/>
          <w:szCs w:val="21"/>
          <w:lang w:val="en-US" w:eastAsia="zh-CN"/>
        </w:rPr>
      </w:pPr>
      <w:r>
        <w:rPr>
          <w:rFonts w:hint="eastAsia" w:hAnsi="宋体" w:cs="宋体"/>
          <w:color w:val="000000"/>
          <w:szCs w:val="21"/>
          <w:lang w:val="en-US" w:eastAsia="zh-CN"/>
        </w:rPr>
        <w:t>3、若发现有提供虚假的证明材料，视为无效响应，追究相关责任。</w:t>
      </w:r>
    </w:p>
    <w:p>
      <w:pPr>
        <w:widowControl/>
        <w:jc w:val="left"/>
        <w:rPr>
          <w:rFonts w:hint="eastAsia" w:ascii="宋体" w:hAnsi="宋体" w:eastAsia="宋体" w:cs="宋体"/>
          <w:b/>
          <w:bCs/>
          <w:color w:val="000000" w:themeColor="text1"/>
          <w:kern w:val="44"/>
          <w:sz w:val="36"/>
          <w:szCs w:val="44"/>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br w:type="page"/>
      </w:r>
    </w:p>
    <w:p>
      <w:pPr>
        <w:pStyle w:val="10"/>
        <w:spacing w:after="340" w:line="480" w:lineRule="auto"/>
        <w:jc w:val="center"/>
        <w:rPr>
          <w:rFonts w:hint="eastAsia" w:ascii="宋体" w:hAnsi="宋体" w:eastAsia="宋体" w:cs="宋体"/>
          <w:color w:val="000000" w:themeColor="text1"/>
          <w:sz w:val="36"/>
          <w:highlight w:val="none"/>
          <w14:textFill>
            <w14:solidFill>
              <w14:schemeClr w14:val="tx1"/>
            </w14:solidFill>
          </w14:textFill>
        </w:rPr>
      </w:pPr>
      <w:bookmarkStart w:id="131" w:name="_Toc22787"/>
      <w:r>
        <w:rPr>
          <w:rFonts w:hint="eastAsia" w:ascii="宋体" w:hAnsi="宋体" w:eastAsia="宋体" w:cs="宋体"/>
          <w:color w:val="000000" w:themeColor="text1"/>
          <w:sz w:val="36"/>
          <w:highlight w:val="none"/>
          <w14:textFill>
            <w14:solidFill>
              <w14:schemeClr w14:val="tx1"/>
            </w14:solidFill>
          </w14:textFill>
        </w:rPr>
        <w:t>第六章 投标文件格式</w:t>
      </w:r>
      <w:bookmarkEnd w:id="129"/>
      <w:bookmarkEnd w:id="130"/>
      <w:bookmarkEnd w:id="131"/>
    </w:p>
    <w:p>
      <w:pPr>
        <w:jc w:val="center"/>
        <w:rPr>
          <w:rFonts w:hint="eastAsia" w:ascii="宋体" w:hAnsi="宋体" w:eastAsia="宋体" w:cs="宋体"/>
          <w:b/>
          <w:color w:val="000000" w:themeColor="text1"/>
          <w:sz w:val="36"/>
          <w:highlight w:val="none"/>
          <w14:textFill>
            <w14:solidFill>
              <w14:schemeClr w14:val="tx1"/>
            </w14:solidFill>
          </w14:textFill>
        </w:rPr>
      </w:pPr>
    </w:p>
    <w:p>
      <w:pPr>
        <w:jc w:val="center"/>
        <w:rPr>
          <w:rFonts w:hint="eastAsia" w:ascii="宋体" w:hAnsi="宋体" w:eastAsia="宋体" w:cs="宋体"/>
          <w:b/>
          <w:color w:val="000000" w:themeColor="text1"/>
          <w:szCs w:val="21"/>
          <w:highlight w:val="none"/>
          <w14:textFill>
            <w14:solidFill>
              <w14:schemeClr w14:val="tx1"/>
            </w14:solidFill>
          </w14:textFill>
        </w:rPr>
      </w:pPr>
    </w:p>
    <w:p>
      <w:pPr>
        <w:jc w:val="center"/>
        <w:rPr>
          <w:rFonts w:hint="eastAsia" w:ascii="宋体" w:hAnsi="宋体" w:eastAsia="宋体" w:cs="宋体"/>
          <w:b/>
          <w:color w:val="000000" w:themeColor="text1"/>
          <w:sz w:val="22"/>
          <w:szCs w:val="21"/>
          <w:highlight w:val="none"/>
          <w14:textFill>
            <w14:solidFill>
              <w14:schemeClr w14:val="tx1"/>
            </w14:solidFill>
          </w14:textFill>
        </w:rPr>
      </w:pPr>
    </w:p>
    <w:p>
      <w:pP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投  标  文  件</w:t>
      </w:r>
    </w:p>
    <w:p>
      <w:pPr>
        <w:jc w:val="center"/>
        <w:rPr>
          <w:rFonts w:hint="eastAsia" w:ascii="宋体" w:hAnsi="宋体" w:eastAsia="宋体" w:cs="宋体"/>
          <w:b/>
          <w:color w:val="000000" w:themeColor="text1"/>
          <w:sz w:val="72"/>
          <w:highlight w:val="none"/>
          <w14:textFill>
            <w14:solidFill>
              <w14:schemeClr w14:val="tx1"/>
            </w14:solidFill>
          </w14:textFill>
        </w:rPr>
      </w:pPr>
    </w:p>
    <w:p>
      <w:pPr>
        <w:jc w:val="center"/>
        <w:rPr>
          <w:rFonts w:hint="eastAsia" w:ascii="宋体" w:hAnsi="宋体" w:eastAsia="宋体" w:cs="宋体"/>
          <w:b/>
          <w:color w:val="000000" w:themeColor="text1"/>
          <w:sz w:val="72"/>
          <w:highlight w:val="none"/>
          <w14:textFill>
            <w14:solidFill>
              <w14:schemeClr w14:val="tx1"/>
            </w14:solidFill>
          </w14:textFill>
        </w:rPr>
      </w:pPr>
    </w:p>
    <w:p>
      <w:pPr>
        <w:jc w:val="center"/>
        <w:rPr>
          <w:rFonts w:hint="eastAsia" w:ascii="宋体" w:hAnsi="宋体" w:eastAsia="宋体" w:cs="宋体"/>
          <w:b/>
          <w:color w:val="000000" w:themeColor="text1"/>
          <w:sz w:val="36"/>
          <w:highlight w:val="none"/>
          <w14:textFill>
            <w14:solidFill>
              <w14:schemeClr w14:val="tx1"/>
            </w14:solidFill>
          </w14:textFill>
        </w:rPr>
      </w:pPr>
    </w:p>
    <w:p>
      <w:pPr>
        <w:jc w:val="center"/>
        <w:rPr>
          <w:rFonts w:hint="eastAsia" w:ascii="宋体" w:hAnsi="宋体" w:eastAsia="宋体" w:cs="宋体"/>
          <w:b/>
          <w:color w:val="000000" w:themeColor="text1"/>
          <w:sz w:val="36"/>
          <w:highlight w:val="none"/>
          <w14:textFill>
            <w14:solidFill>
              <w14:schemeClr w14:val="tx1"/>
            </w14:solidFill>
          </w14:textFill>
        </w:rPr>
      </w:pPr>
    </w:p>
    <w:p>
      <w:pPr>
        <w:jc w:val="center"/>
        <w:rPr>
          <w:rFonts w:hint="eastAsia" w:ascii="宋体" w:hAnsi="宋体" w:eastAsia="宋体" w:cs="宋体"/>
          <w:b/>
          <w:color w:val="000000" w:themeColor="text1"/>
          <w:sz w:val="36"/>
          <w:highlight w:val="none"/>
          <w14:textFill>
            <w14:solidFill>
              <w14:schemeClr w14:val="tx1"/>
            </w14:solidFill>
          </w14:textFill>
        </w:rPr>
      </w:pPr>
    </w:p>
    <w:p>
      <w:pPr>
        <w:ind w:left="2166" w:leftChars="171" w:hanging="1807" w:hangingChars="5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项目名称：</w:t>
      </w:r>
      <w:r>
        <w:rPr>
          <w:rFonts w:hint="eastAsia" w:ascii="宋体" w:hAnsi="宋体" w:eastAsia="宋体" w:cs="宋体"/>
          <w:color w:val="000000" w:themeColor="text1"/>
          <w:sz w:val="32"/>
          <w:szCs w:val="32"/>
          <w:highlight w:val="none"/>
          <w14:textFill>
            <w14:solidFill>
              <w14:schemeClr w14:val="tx1"/>
            </w14:solidFill>
          </w14:textFill>
        </w:rPr>
        <w:t>GZ4</w:t>
      </w:r>
      <w:r>
        <w:rPr>
          <w:rFonts w:hint="eastAsia" w:ascii="宋体" w:hAnsi="宋体" w:eastAsia="宋体" w:cs="宋体"/>
          <w:color w:val="000000" w:themeColor="text1"/>
          <w:sz w:val="32"/>
          <w:szCs w:val="32"/>
          <w:highlight w:val="none"/>
          <w:lang w:val="en-US" w:eastAsia="zh-CN"/>
          <w14:textFill>
            <w14:solidFill>
              <w14:schemeClr w14:val="tx1"/>
            </w14:solidFill>
          </w14:textFill>
        </w:rPr>
        <w:t>5</w:t>
      </w:r>
      <w:r>
        <w:rPr>
          <w:rFonts w:hint="eastAsia" w:ascii="宋体" w:hAnsi="宋体" w:eastAsia="宋体" w:cs="宋体"/>
          <w:color w:val="000000" w:themeColor="text1"/>
          <w:sz w:val="32"/>
          <w:szCs w:val="32"/>
          <w:highlight w:val="none"/>
          <w14:textFill>
            <w14:solidFill>
              <w14:schemeClr w14:val="tx1"/>
            </w14:solidFill>
          </w14:textFill>
        </w:rPr>
        <w:t>8地块项目营销代理服务</w:t>
      </w:r>
    </w:p>
    <w:p>
      <w:pPr>
        <w:ind w:firstLine="361" w:firstLineChars="100"/>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编       号：</w:t>
      </w:r>
      <w:r>
        <w:rPr>
          <w:rFonts w:hint="eastAsia" w:ascii="宋体" w:hAnsi="宋体" w:eastAsia="宋体" w:cs="宋体"/>
          <w:color w:val="000000" w:themeColor="text1"/>
          <w:sz w:val="32"/>
          <w:szCs w:val="32"/>
          <w:highlight w:val="none"/>
          <w:lang w:eastAsia="zh-CN"/>
          <w14:textFill>
            <w14:solidFill>
              <w14:schemeClr w14:val="tx1"/>
            </w14:solidFill>
          </w14:textFill>
        </w:rPr>
        <w:t>JSZCZC2024013</w:t>
      </w:r>
      <w:r>
        <w:rPr>
          <w:rFonts w:hint="eastAsia" w:ascii="宋体" w:hAnsi="宋体" w:eastAsia="宋体" w:cs="宋体"/>
          <w:color w:val="000000" w:themeColor="text1"/>
          <w:sz w:val="32"/>
          <w:szCs w:val="32"/>
          <w:highlight w:val="none"/>
          <w14:textFill>
            <w14:solidFill>
              <w14:schemeClr w14:val="tx1"/>
            </w14:solidFill>
          </w14:textFill>
        </w:rPr>
        <w:t>号</w:t>
      </w:r>
    </w:p>
    <w:p>
      <w:pPr>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投标人名称 ：</w:t>
      </w:r>
    </w:p>
    <w:p>
      <w:pP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日      期 ：</w:t>
      </w:r>
    </w:p>
    <w:p>
      <w:pP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before="317" w:beforeLines="100" w:after="317" w:afterLines="10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评分索引表</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1"/>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评分项目</w:t>
            </w:r>
          </w:p>
        </w:tc>
        <w:tc>
          <w:tcPr>
            <w:tcW w:w="19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b/>
                <w:color w:val="000000" w:themeColor="text1"/>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2"/>
              <w:rPr>
                <w:rFonts w:hint="eastAsia" w:ascii="宋体" w:hAnsi="宋体" w:eastAsia="宋体" w:cs="宋体"/>
                <w:b/>
                <w:bCs/>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2"/>
              <w:rPr>
                <w:rFonts w:hint="eastAsia" w:ascii="宋体" w:hAnsi="宋体" w:eastAsia="宋体" w:cs="宋体"/>
                <w:b/>
                <w:bCs/>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left="420" w:firstLine="422"/>
              <w:rPr>
                <w:rFonts w:hint="eastAsia" w:ascii="宋体" w:hAnsi="宋体" w:eastAsia="宋体" w:cs="宋体"/>
                <w:b/>
                <w:color w:val="000000" w:themeColor="text1"/>
                <w:kern w:val="2"/>
                <w:sz w:val="21"/>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firstLine="420"/>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105"/>
              <w:shd w:val="clear" w:color="auto" w:fill="FFFFFF"/>
              <w:spacing w:line="265" w:lineRule="atLeast"/>
              <w:ind w:firstLine="420"/>
              <w:rPr>
                <w:rFonts w:hint="eastAsia" w:ascii="宋体" w:hAnsi="宋体" w:eastAsia="宋体" w:cs="宋体"/>
                <w:color w:val="000000" w:themeColor="text1"/>
                <w:kern w:val="2"/>
                <w:sz w:val="21"/>
                <w:szCs w:val="22"/>
                <w:highlight w:val="none"/>
                <w14:textFill>
                  <w14:solidFill>
                    <w14:schemeClr w14:val="tx1"/>
                  </w14:solidFill>
                </w14:textFill>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bl>
    <w:p>
      <w:pPr>
        <w:rPr>
          <w:rFonts w:hint="eastAsia" w:ascii="宋体" w:hAnsi="宋体" w:eastAsia="宋体" w:cs="宋体"/>
          <w:color w:val="000000" w:themeColor="text1"/>
          <w:highlight w:val="none"/>
          <w14:textFill>
            <w14:solidFill>
              <w14:schemeClr w14:val="tx1"/>
            </w14:solidFill>
          </w14:textFill>
        </w:rPr>
      </w:pPr>
    </w:p>
    <w:p>
      <w:pPr>
        <w:spacing w:after="317" w:afterLines="100"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36"/>
          <w:highlight w:val="none"/>
          <w:u w:val="single"/>
          <w14:textFill>
            <w14:solidFill>
              <w14:schemeClr w14:val="tx1"/>
            </w14:solidFill>
          </w14:textFill>
        </w:rPr>
        <w:br w:type="page"/>
      </w:r>
      <w:r>
        <w:rPr>
          <w:rFonts w:hint="eastAsia" w:ascii="宋体" w:hAnsi="宋体" w:eastAsia="宋体" w:cs="宋体"/>
          <w:b/>
          <w:bCs/>
          <w:color w:val="000000" w:themeColor="text1"/>
          <w:szCs w:val="21"/>
          <w:highlight w:val="none"/>
          <w14:textFill>
            <w14:solidFill>
              <w14:schemeClr w14:val="tx1"/>
            </w14:solidFill>
          </w14:textFill>
        </w:rPr>
        <w:t>投标主要文件目录</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一、资格性和符合性检查响应对照表</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2"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资格证明文件</w:t>
      </w:r>
    </w:p>
    <w:p>
      <w:pPr>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三、开标一览表</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四、分项报价表</w:t>
      </w:r>
    </w:p>
    <w:p>
      <w:pPr>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五、项目组人员配置</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六、技术参数响应及偏离表</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七、商务条款响应及偏离表</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 w:val="22"/>
          <w:szCs w:val="21"/>
          <w:highlight w:val="none"/>
          <w14:textFill>
            <w14:solidFill>
              <w14:schemeClr w14:val="tx1"/>
            </w14:solidFill>
          </w14:textFill>
        </w:rPr>
      </w:pPr>
    </w:p>
    <w:p>
      <w:pPr>
        <w:ind w:firstLine="632" w:firstLineChars="3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pStyle w:val="2"/>
        <w:ind w:firstLine="420"/>
        <w:rPr>
          <w:rFonts w:hint="eastAsia" w:ascii="宋体" w:hAnsi="宋体" w:eastAsia="宋体" w:cs="宋体"/>
          <w:color w:val="000000" w:themeColor="text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jc w:val="left"/>
        <w:rPr>
          <w:rFonts w:hint="eastAsia" w:ascii="宋体" w:hAnsi="宋体" w:eastAsia="宋体" w:cs="宋体"/>
          <w:b/>
          <w:color w:val="000000" w:themeColor="text1"/>
          <w:szCs w:val="21"/>
          <w:highlight w:val="none"/>
          <w14:textFill>
            <w14:solidFill>
              <w14:schemeClr w14:val="tx1"/>
            </w14:solidFill>
          </w14:textFill>
        </w:rPr>
      </w:pPr>
    </w:p>
    <w:p>
      <w:pPr>
        <w:spacing w:after="317"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一、资格性和符合性检查响应对照表</w:t>
      </w:r>
    </w:p>
    <w:p>
      <w:pPr>
        <w:spacing w:after="317" w:afterLines="100" w:line="360" w:lineRule="auto"/>
        <w:ind w:right="210" w:rightChars="100" w:firstLine="30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5"/>
        <w:gridCol w:w="1883"/>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是否响应</w:t>
            </w:r>
          </w:p>
          <w:p>
            <w:pP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投标文件中的</w:t>
            </w:r>
          </w:p>
          <w:p>
            <w:pPr>
              <w:adjustRightInd w:val="0"/>
              <w:snapToGrid w:val="0"/>
              <w:spacing w:after="200"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1</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2</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3</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4</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5</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6</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color w:val="000000" w:themeColor="text1"/>
                <w:szCs w:val="21"/>
                <w:highlight w:val="none"/>
                <w:u w:val="single"/>
                <w14:textFill>
                  <w14:solidFill>
                    <w14:schemeClr w14:val="tx1"/>
                  </w14:solidFill>
                </w14:textFill>
              </w:rPr>
            </w:pP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color w:val="000000" w:themeColor="text1"/>
                <w:szCs w:val="21"/>
                <w:highlight w:val="none"/>
                <w:u w:val="single"/>
                <w14:textFill>
                  <w14:solidFill>
                    <w14:schemeClr w14:val="tx1"/>
                  </w14:solidFill>
                </w14:textFill>
              </w:rPr>
            </w:pPr>
            <w:r>
              <w:rPr>
                <w:rFonts w:hint="eastAsia" w:ascii="宋体" w:hAnsi="宋体" w:eastAsia="宋体" w:cs="宋体"/>
                <w:bCs/>
                <w:i/>
                <w:color w:val="000000" w:themeColor="text1"/>
                <w:szCs w:val="21"/>
                <w:highlight w:val="none"/>
                <w:u w:val="single"/>
                <w14:textFill>
                  <w14:solidFill>
                    <w14:schemeClr w14:val="tx1"/>
                  </w14:solidFill>
                </w14:textFill>
              </w:rPr>
              <w:t>7</w:t>
            </w:r>
          </w:p>
        </w:tc>
        <w:tc>
          <w:tcPr>
            <w:tcW w:w="277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highlight w:val="none"/>
                <w14:textFill>
                  <w14:solidFill>
                    <w14:schemeClr w14:val="tx1"/>
                  </w14:solidFill>
                </w14:textFill>
              </w:rPr>
            </w:pPr>
          </w:p>
        </w:tc>
      </w:tr>
    </w:tbl>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kern w:val="0"/>
          <w:sz w:val="22"/>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before="50" w:after="50"/>
        <w:rPr>
          <w:rFonts w:hint="eastAsia" w:ascii="宋体" w:hAnsi="宋体" w:eastAsia="宋体" w:cs="宋体"/>
          <w:color w:val="000000" w:themeColor="text1"/>
          <w:szCs w:val="21"/>
          <w:highlight w:val="none"/>
          <w14:textFill>
            <w14:solidFill>
              <w14:schemeClr w14:val="tx1"/>
            </w14:solidFill>
          </w14:textFill>
        </w:rPr>
      </w:pPr>
    </w:p>
    <w:p>
      <w:pPr>
        <w:spacing w:after="240" w:line="360" w:lineRule="auto"/>
        <w:ind w:left="3363"/>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szCs w:val="21"/>
          <w:highlight w:val="none"/>
          <w14:textFill>
            <w14:solidFill>
              <w14:schemeClr w14:val="tx1"/>
            </w14:solidFill>
          </w14:textFill>
        </w:rPr>
        <w:t>二、资格证明文件要求</w:t>
      </w:r>
    </w:p>
    <w:p>
      <w:pPr>
        <w:snapToGrid w:val="0"/>
        <w:spacing w:before="50" w:after="50"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1、符合政府采购法律法规规定的条件目录</w:t>
      </w:r>
    </w:p>
    <w:p>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满足以下规定，并提供下列材料：</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 投标函(原件)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1.2 资格声明(原件)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1.4 营业执照副本(复印件加盖投标人公章)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1.5依法缴纳职工社会保障资金的证明材料(复印件加盖投标人公章)(税务、银行或社会保险基金管理部门出具的近三个月内任意一月（</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1.6供应商近三个月内任意一个月（</w:t>
      </w:r>
      <w:r>
        <w:rPr>
          <w:rFonts w:hint="eastAsia" w:ascii="宋体" w:hAnsi="宋体" w:cs="宋体"/>
          <w:i/>
          <w:iCs/>
          <w:color w:val="000000" w:themeColor="text1"/>
          <w:szCs w:val="21"/>
          <w:highlight w:val="none"/>
          <w:u w:val="single"/>
          <w:lang w:eastAsia="zh-CN"/>
          <w14:textFill>
            <w14:solidFill>
              <w14:schemeClr w14:val="tx1"/>
            </w14:solidFill>
          </w14:textFill>
        </w:rPr>
        <w:t>2023年12月-2024年2月</w:t>
      </w:r>
      <w:r>
        <w:rPr>
          <w:rFonts w:hint="eastAsia" w:ascii="宋体" w:hAnsi="宋体" w:eastAsia="宋体" w:cs="宋体"/>
          <w:i/>
          <w:iCs/>
          <w:color w:val="000000" w:themeColor="text1"/>
          <w:szCs w:val="21"/>
          <w:highlight w:val="none"/>
          <w:u w:val="single"/>
          <w14:textFill>
            <w14:solidFill>
              <w14:schemeClr w14:val="tx1"/>
            </w14:solidFill>
          </w14:textFill>
        </w:rPr>
        <w:t>）依法纳税的缴款凭证(复印件加盖投标人公章)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1.7与第（6）条相对应的纳税申报表或经会计师事务所审计的202</w:t>
      </w:r>
      <w:r>
        <w:rPr>
          <w:rFonts w:hint="eastAsia" w:ascii="宋体" w:hAnsi="宋体" w:cs="宋体"/>
          <w:i/>
          <w:iCs/>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i/>
          <w:iCs/>
          <w:color w:val="000000" w:themeColor="text1"/>
          <w:szCs w:val="21"/>
          <w:highlight w:val="none"/>
          <w:u w:val="single"/>
          <w14:textFill>
            <w14:solidFill>
              <w14:schemeClr w14:val="tx1"/>
            </w14:solidFill>
          </w14:textFill>
        </w:rPr>
        <w:t>年度</w:t>
      </w:r>
      <w:r>
        <w:rPr>
          <w:rFonts w:hint="eastAsia" w:ascii="宋体" w:hAnsi="宋体" w:cs="宋体"/>
          <w:i/>
          <w:iCs/>
          <w:color w:val="000000" w:themeColor="text1"/>
          <w:szCs w:val="21"/>
          <w:highlight w:val="none"/>
          <w:u w:val="single"/>
          <w:lang w:val="en-US" w:eastAsia="zh-CN"/>
          <w14:textFill>
            <w14:solidFill>
              <w14:schemeClr w14:val="tx1"/>
            </w14:solidFill>
          </w14:textFill>
        </w:rPr>
        <w:t>或2023年度</w:t>
      </w:r>
      <w:r>
        <w:rPr>
          <w:rFonts w:hint="eastAsia" w:ascii="宋体" w:hAnsi="宋体" w:eastAsia="宋体" w:cs="宋体"/>
          <w:i/>
          <w:iCs/>
          <w:color w:val="000000" w:themeColor="text1"/>
          <w:szCs w:val="21"/>
          <w:highlight w:val="none"/>
          <w:u w:val="single"/>
          <w14:textFill>
            <w14:solidFill>
              <w14:schemeClr w14:val="tx1"/>
            </w14:solidFill>
          </w14:textFill>
        </w:rPr>
        <w:t>财务报告(复印件加盖供应商公章)</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1.8 供应商参加本次政府采购活动前3年内在经营活动中没有重大违法记录的书面声明（原件）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1.9供应商信用承诺书（原件）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highlight w:val="none"/>
          <w:u w:val="single"/>
          <w14:textFill>
            <w14:solidFill>
              <w14:schemeClr w14:val="tx1"/>
            </w14:solidFill>
          </w14:textFill>
        </w:rPr>
        <w:t>1.10供应商未被“信用中国”网站（www.creditchina.gov.cn）、“中国政府采购网” (www.ccgp.gov.cn)列入失信被执行人、重大税收违法案件当事人名单、政府采购严重违法失信行为。</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pPr>
        <w:adjustRightInd w:val="0"/>
        <w:snapToGrid w:val="0"/>
        <w:spacing w:line="360" w:lineRule="auto"/>
        <w:ind w:firstLine="420" w:firstLineChars="200"/>
        <w:rPr>
          <w:rFonts w:hint="eastAsia" w:ascii="宋体" w:hAnsi="宋体" w:eastAsia="宋体" w:cs="宋体"/>
          <w:i/>
          <w:iCs/>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r>
        <w:rPr>
          <w:rFonts w:hint="eastAsia" w:ascii="宋体" w:hAnsi="宋体" w:cs="宋体"/>
          <w:i/>
          <w:kern w:val="0"/>
          <w:szCs w:val="21"/>
          <w:highlight w:val="none"/>
          <w:u w:val="single"/>
          <w:lang w:val="en-US" w:eastAsia="zh-CN"/>
        </w:rPr>
        <w:t>/</w:t>
      </w:r>
    </w:p>
    <w:p>
      <w:pPr>
        <w:spacing w:line="360" w:lineRule="auto"/>
        <w:ind w:right="312"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备注：投标文件的正本和副本中均须提供上述资信证明文件。资信证明文件须清晰可辨，若有缺失或不清晰，将导致投标被拒绝且不允许在开标后补正。</w:t>
      </w:r>
    </w:p>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pPr>
        <w:jc w:val="center"/>
        <w:rPr>
          <w:rFonts w:hint="eastAsia" w:ascii="宋体" w:hAnsi="宋体" w:eastAsia="宋体" w:cs="宋体"/>
          <w:b/>
          <w:bCs/>
          <w:color w:val="000000" w:themeColor="text1"/>
          <w:szCs w:val="21"/>
          <w:highlight w:val="none"/>
          <w14:textFill>
            <w14:solidFill>
              <w14:schemeClr w14:val="tx1"/>
            </w14:solidFill>
          </w14:textFill>
        </w:rPr>
      </w:pPr>
    </w:p>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投标函格式</w:t>
      </w:r>
    </w:p>
    <w:p>
      <w:pPr>
        <w:pStyle w:val="161"/>
        <w:spacing w:before="0" w:after="0"/>
        <w:ind w:firstLine="0"/>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致：</w:t>
      </w:r>
      <w:r>
        <w:rPr>
          <w:rFonts w:hint="eastAsia" w:ascii="宋体" w:hAnsi="宋体" w:cs="宋体"/>
          <w:color w:val="000000" w:themeColor="text1"/>
          <w:kern w:val="2"/>
          <w:sz w:val="21"/>
          <w:szCs w:val="21"/>
          <w:highlight w:val="none"/>
          <w:lang w:eastAsia="zh-CN"/>
          <w14:textFill>
            <w14:solidFill>
              <w14:schemeClr w14:val="tx1"/>
            </w14:solidFill>
          </w14:textFill>
        </w:rPr>
        <w:t xml:space="preserve">江苏志诚工程咨询管理有限公司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根据贵方的</w:t>
      </w:r>
      <w:r>
        <w:rPr>
          <w:rFonts w:hint="eastAsia" w:ascii="宋体" w:hAnsi="宋体" w:eastAsia="宋体" w:cs="宋体"/>
          <w:color w:val="000000" w:themeColor="text1"/>
          <w:sz w:val="21"/>
          <w:szCs w:val="21"/>
          <w:highlight w:val="none"/>
          <w:lang w:eastAsia="zh-CN"/>
          <w14:textFill>
            <w14:solidFill>
              <w14:schemeClr w14:val="tx1"/>
            </w14:solidFill>
          </w14:textFill>
        </w:rPr>
        <w:t>JSZCZC2024013</w:t>
      </w:r>
      <w:r>
        <w:rPr>
          <w:rFonts w:hint="eastAsia" w:ascii="宋体" w:hAnsi="宋体" w:eastAsia="宋体" w:cs="宋体"/>
          <w:color w:val="000000" w:themeColor="text1"/>
          <w:sz w:val="21"/>
          <w:szCs w:val="21"/>
          <w:highlight w:val="none"/>
          <w14:textFill>
            <w14:solidFill>
              <w14:schemeClr w14:val="tx1"/>
            </w14:solidFill>
          </w14:textFill>
        </w:rPr>
        <w:t>号</w:t>
      </w:r>
      <w:r>
        <w:rPr>
          <w:rFonts w:hint="eastAsia" w:ascii="宋体" w:hAnsi="宋体" w:eastAsia="宋体" w:cs="宋体"/>
          <w:color w:val="000000" w:themeColor="text1"/>
          <w:kern w:val="2"/>
          <w:sz w:val="21"/>
          <w:szCs w:val="21"/>
          <w:highlight w:val="none"/>
          <w14:textFill>
            <w14:solidFill>
              <w14:schemeClr w14:val="tx1"/>
            </w14:solidFill>
          </w14:textFill>
        </w:rPr>
        <w:t>招标文件，正式授权下述签字___________(姓名)代表我方______________（投标人的名称），全权处理本次项目投标的有关事宜。</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据此函，__________签字人兹宣布同意如下：</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1.按招标文件规定的各项要求，向买方提供所需货物与服务。</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2.我们完全理解贵方不一定将合同授予最低报价的投标人。</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3.我们已详细审核全部招标文件及其有效补充文件，我们知道必须放弃提出含糊不清或误解问题的权利。</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4.我们同意从规定的开标日期起遵循本投标文件，并在规定的投标有效期期满之前均具有约束力。</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5.同意向贵方提供贵方可能另外要求的与投标有关的任何证据或资料，并保证我方已提供和将要提供的文件是真实的、准确的。</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6.一旦我方中标,我方将根据招标文件的规定，严格履行合同的责任和义务,并保证在招标文件规定的时间完成项目，交付买方验收、使用。</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7.与本投标有关的正式通讯地址为：</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地 址：</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邮 编：</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电 话：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传 真：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投标人开户行：</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账 户：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行 号：</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法定代表人或授权代表（签字）：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投标人名称（公章）： </w:t>
      </w:r>
    </w:p>
    <w:p>
      <w:pPr>
        <w:pStyle w:val="161"/>
        <w:spacing w:before="0" w:after="0"/>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日 期：________年____月____日</w:t>
      </w:r>
    </w:p>
    <w:p>
      <w:pPr>
        <w:spacing w:line="360" w:lineRule="auto"/>
        <w:ind w:firstLine="422" w:firstLineChars="200"/>
        <w:jc w:val="center"/>
        <w:rPr>
          <w:rFonts w:hint="eastAsia" w:ascii="宋体" w:hAnsi="宋体" w:eastAsia="宋体" w:cs="宋体"/>
          <w:b/>
          <w:bCs/>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 格 声 明</w:t>
      </w:r>
    </w:p>
    <w:p>
      <w:pPr>
        <w:spacing w:line="360" w:lineRule="auto"/>
        <w:ind w:firstLine="420"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1、名称及其它情况：</w:t>
      </w:r>
    </w:p>
    <w:p>
      <w:pP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（1）投标人名称：</w:t>
      </w:r>
    </w:p>
    <w:p>
      <w:pPr>
        <w:tabs>
          <w:tab w:val="left" w:pos="4530"/>
        </w:tabs>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（2）地址：</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邮编：</w:t>
      </w:r>
    </w:p>
    <w:p>
      <w:pPr>
        <w:tabs>
          <w:tab w:val="left" w:pos="600"/>
          <w:tab w:val="left" w:pos="432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  传真：</w:t>
      </w:r>
    </w:p>
    <w:p>
      <w:pPr>
        <w:spacing w:line="360" w:lineRule="auto"/>
        <w:ind w:firstLine="315" w:firstLineChars="1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（3）成立和/或注册日期：</w:t>
      </w:r>
    </w:p>
    <w:p>
      <w:pP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（4）法定代表人：</w:t>
      </w:r>
    </w:p>
    <w:p>
      <w:pPr>
        <w:spacing w:line="360" w:lineRule="auto"/>
        <w:ind w:firstLine="315" w:firstLineChars="1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（5）实收资本：</w:t>
      </w:r>
    </w:p>
    <w:p>
      <w:pPr>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（6）近期资产负债表：（到</w:t>
      </w:r>
      <w:r>
        <w:rPr>
          <w:rFonts w:hint="eastAsia" w:ascii="宋体" w:hAnsi="宋体" w:eastAsia="宋体" w:cs="宋体"/>
          <w:color w:val="000000" w:themeColor="text1"/>
          <w:szCs w:val="21"/>
          <w:highlight w:val="none"/>
          <w:u w:val="single"/>
          <w14:textFill>
            <w14:solidFill>
              <w14:schemeClr w14:val="tx1"/>
            </w14:solidFill>
          </w14:textFill>
        </w:rPr>
        <w:t>20  年12月31日</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&lt;1&gt; 固定资产：</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&lt;2&gt; 流动资金：</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&lt;3&gt; 长期负债：</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&lt;4&gt; 短期负债：</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2、近三年同类投标货物和服务的主要销售业绩（无有效联系人、联系方式和合同复印件的视为未填报本项目）：</w:t>
      </w:r>
    </w:p>
    <w:tbl>
      <w:tblPr>
        <w:tblStyle w:val="42"/>
        <w:tblW w:w="8522" w:type="dxa"/>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jc w:val="cente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甲方名称、联系人、联系方式</w:t>
            </w:r>
          </w:p>
        </w:tc>
        <w:tc>
          <w:tcPr>
            <w:tcW w:w="4251" w:type="dxa"/>
            <w:vAlign w:val="top"/>
          </w:tcPr>
          <w:p>
            <w:pPr>
              <w:adjustRightInd w:val="0"/>
              <w:snapToGrid w:val="0"/>
              <w:spacing w:after="200" w:line="360" w:lineRule="auto"/>
              <w:jc w:val="cente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项   目   名   称</w:t>
            </w: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c>
          <w:tcPr>
            <w:tcW w:w="4251" w:type="dxa"/>
            <w:vAlign w:val="top"/>
          </w:tcPr>
          <w:p>
            <w:pP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4271" w:type="dxa"/>
            <w:vAlign w:val="top"/>
          </w:tcPr>
          <w:p>
            <w:pP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c>
          <w:tcPr>
            <w:tcW w:w="4251" w:type="dxa"/>
            <w:vAlign w:val="top"/>
          </w:tcPr>
          <w:p>
            <w:pPr>
              <w:adjustRightInd w:val="0"/>
              <w:snapToGrid w:val="0"/>
              <w:spacing w:after="200" w:line="360" w:lineRule="auto"/>
              <w:rPr>
                <w:rFonts w:hint="eastAsia" w:ascii="宋体" w:hAnsi="宋体" w:eastAsia="宋体" w:cs="宋体"/>
                <w:color w:val="000000" w:themeColor="text1"/>
                <w:highlight w:val="none"/>
                <w14:textFill>
                  <w14:solidFill>
                    <w14:schemeClr w14:val="tx1"/>
                  </w14:solidFill>
                </w14:textFill>
              </w:rPr>
            </w:pPr>
          </w:p>
        </w:tc>
      </w:tr>
    </w:tbl>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ind w:left="105" w:leftChars="50" w:firstLine="315" w:firstLineChars="15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3、本次招标要求的其他资格文件以及投标人认为需要声明的其他情况：</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投标人公章：</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法定代表人或授权代表签字：</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年   月    日        </w:t>
      </w:r>
    </w:p>
    <w:p>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（注：资格声明为格式文件,请勿修改，否则将导致投标文件无效。）</w:t>
      </w: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widowControl/>
        <w:jc w:val="left"/>
        <w:rPr>
          <w:rFonts w:hint="eastAsia" w:ascii="宋体" w:hAnsi="宋体" w:eastAsia="宋体" w:cs="宋体"/>
          <w:b/>
          <w:color w:val="000000" w:themeColor="text1"/>
          <w:szCs w:val="21"/>
          <w:highlight w:val="none"/>
          <w14:textFill>
            <w14:solidFill>
              <w14:schemeClr w14:val="tx1"/>
            </w14:solidFill>
          </w14:textFill>
        </w:rPr>
      </w:pPr>
    </w:p>
    <w:p>
      <w:pPr>
        <w:pStyle w:val="144"/>
        <w:spacing w:after="317" w:afterLines="100" w:line="360" w:lineRule="auto"/>
        <w:ind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p>
    <w:p>
      <w:pPr>
        <w:pStyle w:val="144"/>
        <w:spacing w:after="317" w:afterLines="100" w:line="360" w:lineRule="auto"/>
        <w:ind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法人授权书</w:t>
      </w:r>
    </w:p>
    <w:p>
      <w:pPr>
        <w:pStyle w:val="144"/>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本授权书声明：________________（投标人名称）授权________________（被授权人的姓名）为我方就</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JSZCZC2024013</w:t>
      </w:r>
      <w:r>
        <w:rPr>
          <w:rFonts w:hint="eastAsia" w:ascii="宋体" w:hAnsi="宋体" w:eastAsia="宋体" w:cs="宋体"/>
          <w:color w:val="000000" w:themeColor="text1"/>
          <w:sz w:val="21"/>
          <w:szCs w:val="21"/>
          <w:highlight w:val="none"/>
          <w:u w:val="single"/>
          <w14:textFill>
            <w14:solidFill>
              <w14:schemeClr w14:val="tx1"/>
            </w14:solidFill>
          </w14:textFill>
        </w:rPr>
        <w:t>号GZ4</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8地块项目营销代理服务</w:t>
      </w:r>
      <w:r>
        <w:rPr>
          <w:rFonts w:hint="eastAsia" w:ascii="宋体" w:hAnsi="宋体" w:eastAsia="宋体" w:cs="宋体"/>
          <w:color w:val="000000" w:themeColor="text1"/>
          <w:sz w:val="21"/>
          <w:szCs w:val="21"/>
          <w:highlight w:val="none"/>
          <w14:textFill>
            <w14:solidFill>
              <w14:schemeClr w14:val="tx1"/>
            </w14:solidFill>
          </w14:textFill>
        </w:rPr>
        <w:t>采购活动的合法代理人，以本公司名义全权处理一切与该项目采购有关的事务。</w:t>
      </w:r>
    </w:p>
    <w:p>
      <w:pPr>
        <w:pStyle w:val="144"/>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本授权书于______年____月____日起生效，特此声明。</w:t>
      </w:r>
    </w:p>
    <w:p>
      <w:pPr>
        <w:pStyle w:val="144"/>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p>
    <w:p>
      <w:pPr>
        <w:pStyle w:val="144"/>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被授权人签字：</w:t>
      </w:r>
    </w:p>
    <w:p>
      <w:pPr>
        <w:pStyle w:val="144"/>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联系电话（手机）：</w:t>
      </w:r>
    </w:p>
    <w:p>
      <w:pPr>
        <w:pStyle w:val="144"/>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单位名称：_____________________________________</w:t>
      </w:r>
    </w:p>
    <w:p>
      <w:pPr>
        <w:pStyle w:val="144"/>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授权单位盖章：_________________________________</w:t>
      </w:r>
    </w:p>
    <w:p>
      <w:pPr>
        <w:pStyle w:val="144"/>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pPr>
        <w:pStyle w:val="144"/>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p>
    <w:p>
      <w:pPr>
        <w:spacing w:line="460" w:lineRule="exact"/>
        <w:rPr>
          <w:rFonts w:hint="eastAsia" w:ascii="宋体" w:hAnsi="宋体" w:eastAsia="宋体" w:cs="宋体"/>
          <w:bCs/>
          <w:color w:val="000000" w:themeColor="text1"/>
          <w:szCs w:val="21"/>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被授权人身份证复印件：</w:t>
      </w: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widowControl/>
        <w:jc w:val="left"/>
        <w:rPr>
          <w:rFonts w:hint="eastAsia" w:ascii="宋体" w:hAnsi="宋体" w:eastAsia="宋体" w:cs="宋体"/>
          <w:b/>
          <w:bCs/>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参加本次采购活动前 3 年内在经营活动中没有重大违法记录的书面声明</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p>
    <w:p>
      <w:pPr>
        <w:spacing w:after="317" w:afterLines="100"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声  明</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wordWrap w:val="0"/>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供应商名称（公章）：_______________________</w:t>
      </w:r>
    </w:p>
    <w:p>
      <w:pPr>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法定代表人或授权代表签字：_______________________</w:t>
      </w:r>
    </w:p>
    <w:p>
      <w:pPr>
        <w:spacing w:line="360" w:lineRule="auto"/>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日期：______年______月______日</w:t>
      </w: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pStyle w:val="25"/>
        <w:numPr>
          <w:ilvl w:val="0"/>
          <w:numId w:val="0"/>
        </w:numPr>
        <w:rPr>
          <w:rFonts w:hint="eastAsia" w:ascii="宋体" w:hAnsi="宋体" w:eastAsia="宋体" w:cs="宋体"/>
          <w:bCs/>
          <w:color w:val="000000" w:themeColor="text1"/>
          <w:sz w:val="24"/>
          <w:highlight w:val="none"/>
          <w14:textFill>
            <w14:solidFill>
              <w14:schemeClr w14:val="tx1"/>
            </w14:solidFill>
          </w14:textFill>
        </w:rPr>
      </w:pPr>
    </w:p>
    <w:p>
      <w:pPr>
        <w:pStyle w:val="25"/>
        <w:numPr>
          <w:ilvl w:val="0"/>
          <w:numId w:val="0"/>
        </w:numPr>
        <w:rPr>
          <w:rFonts w:hint="eastAsia" w:ascii="宋体" w:hAnsi="宋体" w:eastAsia="宋体" w:cs="宋体"/>
          <w:bCs/>
          <w:color w:val="000000" w:themeColor="text1"/>
          <w:sz w:val="24"/>
          <w:highlight w:val="none"/>
          <w14:textFill>
            <w14:solidFill>
              <w14:schemeClr w14:val="tx1"/>
            </w14:solidFill>
          </w14:textFill>
        </w:rPr>
      </w:pPr>
    </w:p>
    <w:p>
      <w:pPr>
        <w:pStyle w:val="25"/>
        <w:numPr>
          <w:ilvl w:val="0"/>
          <w:numId w:val="0"/>
        </w:numPr>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供应商信用承诺书</w:t>
      </w:r>
    </w:p>
    <w:p>
      <w:pPr>
        <w:spacing w:line="560" w:lineRule="exac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承诺主体名称：</w:t>
      </w:r>
    </w:p>
    <w:p>
      <w:pPr>
        <w:spacing w:line="560" w:lineRule="exac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统一社会信用代码：</w:t>
      </w:r>
    </w:p>
    <w:p>
      <w:pPr>
        <w:spacing w:line="560" w:lineRule="exact"/>
        <w:rPr>
          <w:rFonts w:hint="eastAsia" w:ascii="宋体" w:hAnsi="宋体" w:eastAsia="宋体" w:cs="宋体"/>
          <w:color w:val="000000" w:themeColor="text1"/>
          <w:szCs w:val="32"/>
          <w:highlight w:val="none"/>
          <w14:textFill>
            <w14:solidFill>
              <w14:schemeClr w14:val="tx1"/>
            </w14:solidFill>
          </w14:textFill>
        </w:rPr>
      </w:pP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为维护公平竞争、规范有序的市场秩序，营造诚实守信的信用环境，共同推进社会信用体系建设完善，树立企业诚信守法形象，本企业对</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项目采购活动郑重承诺如下:</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四、自觉接受行政管理部门、行业组织、社会公众、新闻舆论的监督；</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六、提出政府采购质疑和投诉坚持依法依规、诚实信用原则，在全国范围12个月内没有三次以上查无实据的政府采购投诉；</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七、严格遵守信用信息公示相关规定，向社会公示信用信息；</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八、在“信用中国”和“中国政府采购网”网站中无违法违规、较重或严重失信记录；</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十、本承诺书自签订之日起生效。</w:t>
      </w:r>
    </w:p>
    <w:p>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（注：法定代表人或负责人、主体名称发生变更的应当重新做出承诺。）</w:t>
      </w:r>
    </w:p>
    <w:p>
      <w:pPr>
        <w:spacing w:line="560" w:lineRule="exact"/>
        <w:jc w:val="righ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承诺单位（签章）：</w:t>
      </w:r>
      <w:r>
        <w:rPr>
          <w:rFonts w:hint="eastAsia" w:ascii="宋体" w:hAnsi="宋体" w:eastAsia="宋体" w:cs="宋体"/>
          <w:bCs/>
          <w:color w:val="000000" w:themeColor="text1"/>
          <w:szCs w:val="21"/>
          <w:highlight w:val="none"/>
          <w14:textFill>
            <w14:solidFill>
              <w14:schemeClr w14:val="tx1"/>
            </w14:solidFill>
          </w14:textFill>
        </w:rPr>
        <w:t>_______________________</w:t>
      </w:r>
    </w:p>
    <w:p>
      <w:pPr>
        <w:spacing w:line="560" w:lineRule="exact"/>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法定代表人（负责人）：</w:t>
      </w:r>
      <w:r>
        <w:rPr>
          <w:rFonts w:hint="eastAsia" w:ascii="宋体" w:hAnsi="宋体" w:eastAsia="宋体" w:cs="宋体"/>
          <w:bCs/>
          <w:color w:val="000000" w:themeColor="text1"/>
          <w:szCs w:val="21"/>
          <w:highlight w:val="none"/>
          <w14:textFill>
            <w14:solidFill>
              <w14:schemeClr w14:val="tx1"/>
            </w14:solidFill>
          </w14:textFill>
        </w:rPr>
        <w:t>_______________________</w:t>
      </w:r>
    </w:p>
    <w:p>
      <w:pPr>
        <w:spacing w:line="560" w:lineRule="exact"/>
        <w:jc w:val="right"/>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日期：______年______月______日</w:t>
      </w:r>
    </w:p>
    <w:p>
      <w:pPr>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bCs/>
          <w:color w:val="000000" w:themeColor="text1"/>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三、开标一览表</w:t>
      </w:r>
    </w:p>
    <w:p>
      <w:pP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p>
      <w:pP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项目名称：GZ4</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8地块项目营销代理服务</w:t>
      </w:r>
    </w:p>
    <w:p>
      <w:pP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lang w:eastAsia="zh-CN"/>
          <w14:textFill>
            <w14:solidFill>
              <w14:schemeClr w14:val="tx1"/>
            </w14:solidFill>
          </w14:textFill>
        </w:rPr>
        <w:t>JSZCZC2024013</w:t>
      </w:r>
      <w:r>
        <w:rPr>
          <w:rFonts w:hint="eastAsia" w:ascii="宋体" w:hAnsi="宋体" w:eastAsia="宋体" w:cs="宋体"/>
          <w:color w:val="000000" w:themeColor="text1"/>
          <w:szCs w:val="21"/>
          <w:highlight w:val="none"/>
          <w14:textFill>
            <w14:solidFill>
              <w14:schemeClr w14:val="tx1"/>
            </w14:solidFill>
          </w14:textFill>
        </w:rPr>
        <w:t>号</w:t>
      </w:r>
    </w:p>
    <w:tbl>
      <w:tblPr>
        <w:tblStyle w:val="4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0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项目名称</w:t>
            </w:r>
          </w:p>
        </w:tc>
        <w:tc>
          <w:tcPr>
            <w:tcW w:w="4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0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GZ4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14:textFill>
                  <w14:solidFill>
                    <w14:schemeClr w14:val="tx1"/>
                  </w14:solidFill>
                </w14:textFill>
              </w:rPr>
              <w:t>8地块项目营销代理服务</w:t>
            </w:r>
          </w:p>
        </w:tc>
        <w:tc>
          <w:tcPr>
            <w:tcW w:w="4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小</w:t>
            </w:r>
            <w:r>
              <w:rPr>
                <w:rFonts w:hint="eastAsia" w:ascii="宋体" w:hAnsi="宋体" w:eastAsia="宋体" w:cs="宋体"/>
                <w:color w:val="000000" w:themeColor="text1"/>
                <w:szCs w:val="21"/>
                <w:highlight w:val="none"/>
                <w14:textFill>
                  <w14:solidFill>
                    <w14:schemeClr w14:val="tx1"/>
                  </w14:solidFill>
                </w14:textFill>
              </w:rPr>
              <w:t>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pPr>
              <w:adjustRightInd w:val="0"/>
              <w:snapToGrid w:val="0"/>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大写：百分之</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41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spacing w:line="360" w:lineRule="auto"/>
        <w:jc w:val="righ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填写说明：</w:t>
      </w:r>
    </w:p>
    <w:p>
      <w:pPr>
        <w:spacing w:line="360" w:lineRule="auto"/>
        <w:ind w:firstLine="480"/>
        <w:rPr>
          <w:rFonts w:hint="eastAsia" w:ascii="宋体" w:hAnsi="宋体" w:eastAsia="宋体" w:cs="宋体"/>
          <w:i/>
          <w:color w:val="000000" w:themeColor="text1"/>
          <w:szCs w:val="21"/>
          <w:highlight w:val="none"/>
          <w14:textFill>
            <w14:solidFill>
              <w14:schemeClr w14:val="tx1"/>
            </w14:solidFill>
          </w14:textFill>
        </w:rPr>
      </w:pPr>
      <w:r>
        <w:rPr>
          <w:rFonts w:hint="eastAsia" w:ascii="宋体" w:hAnsi="宋体" w:eastAsia="宋体" w:cs="宋体"/>
          <w:i/>
          <w:color w:val="000000" w:themeColor="text1"/>
          <w:szCs w:val="21"/>
          <w:highlight w:val="none"/>
          <w14:textFill>
            <w14:solidFill>
              <w14:schemeClr w14:val="tx1"/>
            </w14:solidFill>
          </w14:textFill>
        </w:rPr>
        <w:t>1、</w:t>
      </w:r>
      <w:r>
        <w:rPr>
          <w:rFonts w:hint="eastAsia" w:ascii="宋体" w:hAnsi="宋体" w:eastAsia="宋体" w:cs="宋体"/>
          <w:bCs/>
          <w:i/>
          <w:color w:val="000000" w:themeColor="text1"/>
          <w:szCs w:val="21"/>
          <w:highlight w:val="none"/>
          <w:u w:val="single"/>
          <w14:textFill>
            <w14:solidFill>
              <w14:schemeClr w14:val="tx1"/>
            </w14:solidFill>
          </w14:textFill>
        </w:rPr>
        <w:t>开标一览表必须加盖投标人公章（复印件无效）</w:t>
      </w:r>
      <w:r>
        <w:rPr>
          <w:rFonts w:hint="eastAsia" w:ascii="宋体" w:hAnsi="宋体" w:eastAsia="宋体" w:cs="宋体"/>
          <w:i/>
          <w:color w:val="000000" w:themeColor="text1"/>
          <w:szCs w:val="21"/>
          <w:highlight w:val="none"/>
          <w14:textFill>
            <w14:solidFill>
              <w14:schemeClr w14:val="tx1"/>
            </w14:solidFill>
          </w14:textFill>
        </w:rPr>
        <w:t>。</w:t>
      </w:r>
    </w:p>
    <w:p>
      <w:pPr>
        <w:pStyle w:val="25"/>
        <w:numPr>
          <w:ilvl w:val="0"/>
          <w:numId w:val="0"/>
        </w:numPr>
        <w:ind w:left="420"/>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p>
    <w:p>
      <w:pPr>
        <w:spacing w:after="317"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四、分项报价表</w:t>
      </w:r>
    </w:p>
    <w:p>
      <w:pPr>
        <w:spacing w:after="317"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906"/>
        <w:gridCol w:w="1771"/>
        <w:gridCol w:w="1631"/>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w:t>
            </w: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总价</w:t>
            </w: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8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121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w:t>
            </w:r>
          </w:p>
        </w:tc>
        <w:tc>
          <w:tcPr>
            <w:tcW w:w="266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1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pPr>
        <w:pStyle w:val="2"/>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注：以上分项格式仅供参考，投标人可根据要求自行分项报价。</w:t>
      </w:r>
    </w:p>
    <w:p>
      <w:pPr>
        <w:widowControl/>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pPr>
        <w:spacing w:after="317" w:afterLines="100"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五、项目组人员配置</w:t>
      </w:r>
    </w:p>
    <w:p>
      <w:pPr>
        <w:spacing w:after="317"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42"/>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1064"/>
        <w:gridCol w:w="1537"/>
        <w:gridCol w:w="1539"/>
        <w:gridCol w:w="1230"/>
        <w:gridCol w:w="453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91" w:hRule="atLeast"/>
          <w:jc w:val="center"/>
        </w:trPr>
        <w:tc>
          <w:tcPr>
            <w:tcW w:w="538"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姓名</w:t>
            </w:r>
          </w:p>
        </w:tc>
        <w:tc>
          <w:tcPr>
            <w:tcW w:w="776"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公司职务</w:t>
            </w:r>
          </w:p>
        </w:tc>
        <w:tc>
          <w:tcPr>
            <w:tcW w:w="777"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项目职务</w:t>
            </w:r>
          </w:p>
        </w:tc>
        <w:tc>
          <w:tcPr>
            <w:tcW w:w="621"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从业年限</w:t>
            </w:r>
          </w:p>
        </w:tc>
        <w:tc>
          <w:tcPr>
            <w:tcW w:w="2287" w:type="pct"/>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tabs>
                <w:tab w:val="left" w:pos="720"/>
                <w:tab w:val="left" w:pos="1440"/>
                <w:tab w:val="left" w:pos="2160"/>
                <w:tab w:val="left" w:pos="2880"/>
                <w:tab w:val="left" w:pos="3600"/>
              </w:tabs>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承担项目经历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6"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538"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287"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85" w:hRule="atLeast"/>
          <w:jc w:val="center"/>
        </w:trPr>
        <w:tc>
          <w:tcPr>
            <w:tcW w:w="5000" w:type="pct"/>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TW" w:eastAsia="zh-TW"/>
                <w14:textFill>
                  <w14:solidFill>
                    <w14:schemeClr w14:val="tx1"/>
                  </w14:solidFill>
                </w14:textFill>
              </w:rPr>
              <w:t>一旦我单位中标，将实行项目团队负责制，我方保证并配备上述团队。我方保证上述填报内容真实。</w:t>
            </w:r>
          </w:p>
        </w:tc>
      </w:tr>
    </w:tbl>
    <w:p>
      <w:pPr>
        <w:pStyle w:val="174"/>
        <w:shd w:val="clear" w:color="auto" w:fill="FFFFFF"/>
        <w:spacing w:before="0" w:beforeAutospacing="0" w:after="0" w:afterAutospacing="0" w:line="360" w:lineRule="auto"/>
        <w:ind w:firstLine="960" w:firstLineChars="400"/>
        <w:jc w:val="right"/>
        <w:rPr>
          <w:rFonts w:hint="eastAsia" w:ascii="宋体" w:hAnsi="宋体" w:eastAsia="宋体" w:cs="宋体"/>
          <w:color w:val="000000" w:themeColor="text1"/>
          <w:highlight w:val="none"/>
          <w14:textFill>
            <w14:solidFill>
              <w14:schemeClr w14:val="tx1"/>
            </w14:solidFill>
          </w14:textFill>
        </w:rPr>
      </w:pPr>
    </w:p>
    <w:p>
      <w:pPr>
        <w:pStyle w:val="174"/>
        <w:shd w:val="clear" w:color="auto" w:fill="FFFFFF"/>
        <w:spacing w:before="0" w:beforeAutospacing="0" w:after="0" w:afterAutospacing="0" w:line="360" w:lineRule="auto"/>
        <w:ind w:firstLine="960" w:firstLineChars="400"/>
        <w:jc w:val="right"/>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pPr>
        <w:jc w:val="left"/>
        <w:rPr>
          <w:rFonts w:hint="eastAsia" w:ascii="宋体" w:hAnsi="宋体" w:eastAsia="宋体" w:cs="宋体"/>
          <w:color w:val="000000" w:themeColor="text1"/>
          <w:sz w:val="24"/>
          <w:szCs w:val="24"/>
          <w:highlight w:val="none"/>
          <w14:textFill>
            <w14:solidFill>
              <w14:schemeClr w14:val="tx1"/>
            </w14:solidFill>
          </w14:textFill>
        </w:rPr>
      </w:pPr>
    </w:p>
    <w:p>
      <w:pPr>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pStyle w:val="25"/>
        <w:numPr>
          <w:ilvl w:val="0"/>
          <w:numId w:val="0"/>
        </w:numPr>
        <w:rPr>
          <w:rFonts w:hint="eastAsia" w:ascii="宋体" w:hAnsi="宋体" w:eastAsia="宋体" w:cs="宋体"/>
          <w:bCs/>
          <w:color w:val="000000" w:themeColor="text1"/>
          <w:sz w:val="24"/>
          <w:highlight w:val="none"/>
          <w14:textFill>
            <w14:solidFill>
              <w14:schemeClr w14:val="tx1"/>
            </w14:solidFill>
          </w14:textFill>
        </w:rPr>
      </w:pPr>
    </w:p>
    <w:p>
      <w:pPr>
        <w:pStyle w:val="25"/>
        <w:numPr>
          <w:ilvl w:val="0"/>
          <w:numId w:val="0"/>
        </w:numPr>
        <w:rPr>
          <w:rFonts w:hint="eastAsia" w:ascii="宋体" w:hAnsi="宋体" w:eastAsia="宋体" w:cs="宋体"/>
          <w:bCs/>
          <w:color w:val="000000" w:themeColor="text1"/>
          <w:sz w:val="24"/>
          <w:highlight w:val="none"/>
          <w14:textFill>
            <w14:solidFill>
              <w14:schemeClr w14:val="tx1"/>
            </w14:solidFill>
          </w14:textFill>
        </w:rPr>
        <w:sectPr>
          <w:footerReference r:id="rId7" w:type="default"/>
          <w:pgSz w:w="11905" w:h="16838"/>
          <w:pgMar w:top="1440" w:right="1080" w:bottom="1440" w:left="1080" w:header="850" w:footer="850" w:gutter="0"/>
          <w:pgNumType w:fmt="decimal" w:start="1"/>
          <w:cols w:space="0" w:num="1"/>
          <w:docGrid w:type="lines" w:linePitch="317" w:charSpace="0"/>
        </w:sectPr>
      </w:pPr>
    </w:p>
    <w:p>
      <w:pPr>
        <w:spacing w:after="317"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六、技术参数响应及偏离表</w:t>
      </w:r>
    </w:p>
    <w:p>
      <w:pPr>
        <w:spacing w:after="317"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3065"/>
        <w:gridCol w:w="3065"/>
        <w:gridCol w:w="145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招标要求</w:t>
            </w:r>
          </w:p>
        </w:tc>
        <w:tc>
          <w:tcPr>
            <w:tcW w:w="1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投标响应</w:t>
            </w:r>
          </w:p>
        </w:tc>
        <w:tc>
          <w:tcPr>
            <w:tcW w:w="7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超出、符合或偏离</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8"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46"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pPr>
        <w:rPr>
          <w:rFonts w:hint="eastAsia" w:ascii="宋体" w:hAnsi="宋体" w:eastAsia="宋体" w:cs="宋体"/>
          <w:color w:val="000000" w:themeColor="text1"/>
          <w:kern w:val="0"/>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1、按照基本技术要求详细填列。</w:t>
      </w:r>
    </w:p>
    <w:p>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2、行数不够，可自行添加。</w:t>
      </w:r>
    </w:p>
    <w:p>
      <w:pPr>
        <w:ind w:firstLine="420" w:firstLineChars="200"/>
        <w:jc w:val="left"/>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3、技术偏离表应针对项目需求逐条应答。</w:t>
      </w:r>
    </w:p>
    <w:p>
      <w:pPr>
        <w:jc w:val="left"/>
        <w:rPr>
          <w:rFonts w:hint="eastAsia" w:ascii="宋体" w:hAnsi="宋体" w:eastAsia="宋体" w:cs="宋体"/>
          <w:b/>
          <w:color w:val="000000" w:themeColor="text1"/>
          <w:sz w:val="36"/>
          <w:highlight w:val="none"/>
          <w14:textFill>
            <w14:solidFill>
              <w14:schemeClr w14:val="tx1"/>
            </w14:solidFill>
          </w14:textFill>
        </w:rPr>
      </w:pPr>
    </w:p>
    <w:p>
      <w:pPr>
        <w:jc w:val="left"/>
        <w:rPr>
          <w:rFonts w:hint="eastAsia" w:ascii="宋体" w:hAnsi="宋体" w:eastAsia="宋体" w:cs="宋体"/>
          <w:b/>
          <w:color w:val="000000" w:themeColor="text1"/>
          <w:sz w:val="36"/>
          <w:highlight w:val="none"/>
          <w14:textFill>
            <w14:solidFill>
              <w14:schemeClr w14:val="tx1"/>
            </w14:solidFill>
          </w14:textFill>
        </w:rPr>
      </w:pPr>
    </w:p>
    <w:p>
      <w:pPr>
        <w:jc w:val="left"/>
        <w:rPr>
          <w:rFonts w:hint="eastAsia" w:ascii="宋体" w:hAnsi="宋体" w:eastAsia="宋体" w:cs="宋体"/>
          <w:b/>
          <w:color w:val="000000" w:themeColor="text1"/>
          <w:sz w:val="36"/>
          <w:highlight w:val="none"/>
          <w14:textFill>
            <w14:solidFill>
              <w14:schemeClr w14:val="tx1"/>
            </w14:solidFill>
          </w14:textFill>
        </w:rPr>
      </w:pPr>
    </w:p>
    <w:p>
      <w:pPr>
        <w:jc w:val="left"/>
        <w:rPr>
          <w:rFonts w:hint="eastAsia" w:ascii="宋体" w:hAnsi="宋体" w:eastAsia="宋体" w:cs="宋体"/>
          <w:b/>
          <w:color w:val="000000" w:themeColor="text1"/>
          <w:sz w:val="36"/>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line="460" w:lineRule="exact"/>
        <w:rPr>
          <w:rFonts w:hint="eastAsia" w:ascii="宋体" w:hAnsi="宋体" w:eastAsia="宋体" w:cs="宋体"/>
          <w:bCs/>
          <w:color w:val="000000" w:themeColor="text1"/>
          <w:sz w:val="24"/>
          <w:highlight w:val="none"/>
          <w14:textFill>
            <w14:solidFill>
              <w14:schemeClr w14:val="tx1"/>
            </w14:solidFill>
          </w14:textFill>
        </w:rPr>
      </w:pPr>
    </w:p>
    <w:p>
      <w:pPr>
        <w:spacing w:after="317" w:afterLines="100"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七、商务条款响应及偏离表</w:t>
      </w:r>
    </w:p>
    <w:p>
      <w:pPr>
        <w:spacing w:after="317" w:after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投标人全称（加盖公章）：</w:t>
      </w:r>
    </w:p>
    <w:tbl>
      <w:tblPr>
        <w:tblStyle w:val="4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7"/>
        <w:gridCol w:w="3152"/>
        <w:gridCol w:w="1471"/>
        <w:gridCol w:w="3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招标文件要求</w:t>
            </w: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是否响应</w:t>
            </w: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售后技术服务要求</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服务地点</w:t>
            </w:r>
          </w:p>
        </w:tc>
        <w:tc>
          <w:tcPr>
            <w:tcW w:w="1582" w:type="pct"/>
            <w:tcBorders>
              <w:top w:val="single" w:color="auto" w:sz="4" w:space="0"/>
              <w:left w:val="single" w:color="auto" w:sz="4" w:space="0"/>
              <w:bottom w:val="single" w:color="auto" w:sz="4" w:space="0"/>
              <w:right w:val="single" w:color="auto" w:sz="4" w:space="0"/>
            </w:tcBorders>
          </w:tcPr>
          <w:p>
            <w:pPr>
              <w:spacing w:before="158" w:beforeLines="50" w:line="220" w:lineRule="atLeast"/>
              <w:rPr>
                <w:rFonts w:hint="eastAsia" w:ascii="宋体" w:hAnsi="宋体" w:eastAsia="宋体" w:cs="宋体"/>
                <w:color w:val="000000" w:themeColor="text1"/>
                <w:szCs w:val="21"/>
                <w:highlight w:val="none"/>
                <w14:textFill>
                  <w14:solidFill>
                    <w14:schemeClr w14:val="tx1"/>
                  </w14:solidFill>
                </w14:textFill>
              </w:rPr>
            </w:pPr>
          </w:p>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ind w:left="43"/>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ind w:left="43"/>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付款方式</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投标货币</w:t>
            </w:r>
          </w:p>
        </w:tc>
        <w:tc>
          <w:tcPr>
            <w:tcW w:w="1582" w:type="pct"/>
            <w:tcBorders>
              <w:top w:val="single" w:color="auto" w:sz="4" w:space="0"/>
              <w:left w:val="single" w:color="auto" w:sz="4" w:space="0"/>
              <w:bottom w:val="single" w:color="auto" w:sz="4" w:space="0"/>
              <w:right w:val="single" w:color="auto" w:sz="4" w:space="0"/>
            </w:tcBorders>
          </w:tcPr>
          <w:p>
            <w:pPr>
              <w:spacing w:before="158" w:beforeLines="50" w:line="220" w:lineRule="atLeast"/>
              <w:rPr>
                <w:rFonts w:hint="eastAsia" w:ascii="宋体" w:hAnsi="宋体" w:eastAsia="宋体" w:cs="宋体"/>
                <w:color w:val="000000" w:themeColor="text1"/>
                <w:sz w:val="24"/>
                <w:szCs w:val="20"/>
                <w:highlight w:val="none"/>
                <w14:textFill>
                  <w14:solidFill>
                    <w14:schemeClr w14:val="tx1"/>
                  </w14:solidFill>
                </w14:textFill>
              </w:rPr>
            </w:pPr>
          </w:p>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备品备件及耗材等要求</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8" w:beforeLines="50" w:after="200" w:line="220" w:lineRule="atLeas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1582"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738"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c>
          <w:tcPr>
            <w:tcW w:w="1770" w:type="pct"/>
            <w:tcBorders>
              <w:top w:val="single" w:color="auto" w:sz="4" w:space="0"/>
              <w:left w:val="single" w:color="auto" w:sz="4" w:space="0"/>
              <w:bottom w:val="single" w:color="auto" w:sz="4" w:space="0"/>
              <w:right w:val="single" w:color="auto" w:sz="4" w:space="0"/>
            </w:tcBorders>
          </w:tcPr>
          <w:p>
            <w:pPr>
              <w:adjustRightInd w:val="0"/>
              <w:snapToGrid w:val="0"/>
              <w:spacing w:before="158" w:beforeLines="50" w:after="200" w:line="220" w:lineRule="atLeast"/>
              <w:rPr>
                <w:rFonts w:hint="eastAsia" w:ascii="宋体" w:hAnsi="宋体" w:eastAsia="宋体" w:cs="宋体"/>
                <w:color w:val="000000" w:themeColor="text1"/>
                <w:szCs w:val="21"/>
                <w:highlight w:val="none"/>
                <w14:textFill>
                  <w14:solidFill>
                    <w14:schemeClr w14:val="tx1"/>
                  </w14:solidFill>
                </w14:textFill>
              </w:rPr>
            </w:pPr>
          </w:p>
        </w:tc>
      </w:tr>
    </w:tbl>
    <w:p>
      <w:pPr>
        <w:spacing w:before="317" w:beforeLines="10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法定代表人或授权代表签字：</w:t>
      </w:r>
    </w:p>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2"/>
        <w:ind w:firstLine="420"/>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供应商参加投标确认函</w:t>
      </w:r>
    </w:p>
    <w:p>
      <w:pPr>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 xml:space="preserve">江苏志诚工程咨询管理有限公司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本单位将参加贵公司于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日开标的采购编号为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项目的投标。本单位已在网站成功下载标书，特发函确认。</w:t>
      </w:r>
    </w:p>
    <w:p>
      <w:pPr>
        <w:spacing w:line="360" w:lineRule="auto"/>
        <w:ind w:left="3120" w:hanging="3120" w:hangingChars="13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（单位公章）</w:t>
      </w:r>
    </w:p>
    <w:p>
      <w:pPr>
        <w:pBdr>
          <w:bottom w:val="single" w:color="auto" w:sz="6" w:space="1"/>
        </w:pBdr>
        <w:spacing w:line="360" w:lineRule="auto"/>
        <w:ind w:left="3960" w:hanging="3960" w:hangingChars="16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年　　　月　　　日</w:t>
      </w:r>
    </w:p>
    <w:p>
      <w:pP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3960" w:hanging="3960" w:hangingChars="16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w:t>
      </w:r>
    </w:p>
    <w:p>
      <w:pPr>
        <w:spacing w:line="360" w:lineRule="auto"/>
        <w:ind w:left="3975" w:hanging="3975" w:hangingChars="165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供应商联系表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2648"/>
        <w:gridCol w:w="2648"/>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tc>
        <w:tc>
          <w:tcPr>
            <w:tcW w:w="3819" w:type="pct"/>
            <w:gridSpan w:val="3"/>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c>
          <w:tcPr>
            <w:tcW w:w="3819" w:type="pct"/>
            <w:gridSpan w:val="3"/>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13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3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    编</w:t>
            </w:r>
          </w:p>
        </w:tc>
        <w:tc>
          <w:tcPr>
            <w:tcW w:w="1161"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单位电话</w:t>
            </w:r>
          </w:p>
        </w:tc>
        <w:tc>
          <w:tcPr>
            <w:tcW w:w="1329"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传真号码</w:t>
            </w:r>
          </w:p>
        </w:tc>
        <w:tc>
          <w:tcPr>
            <w:tcW w:w="1161"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p>
        </w:tc>
        <w:tc>
          <w:tcPr>
            <w:tcW w:w="1329"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    箱</w:t>
            </w:r>
          </w:p>
        </w:tc>
        <w:tc>
          <w:tcPr>
            <w:tcW w:w="1161"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联系人电话</w:t>
            </w:r>
          </w:p>
        </w:tc>
        <w:tc>
          <w:tcPr>
            <w:tcW w:w="1329"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29"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联系人手机</w:t>
            </w:r>
          </w:p>
        </w:tc>
        <w:tc>
          <w:tcPr>
            <w:tcW w:w="1161" w:type="pct"/>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所投分包</w:t>
            </w:r>
          </w:p>
        </w:tc>
        <w:tc>
          <w:tcPr>
            <w:tcW w:w="3819" w:type="pct"/>
            <w:gridSpan w:val="3"/>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r>
    </w:tbl>
    <w:p>
      <w:pPr>
        <w:spacing w:before="317" w:beforeLines="10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1、请准备参与本项目投标的供应商如实填写（以上信息均为必填内容）后邮件至采购代理机构（邮 箱：</w:t>
      </w:r>
      <w:bookmarkStart w:id="132" w:name="EBba9c9bd7b5a64bcfb0f2dcb71e0ea086"/>
      <w:r>
        <w:rPr>
          <w:rFonts w:hint="eastAsia" w:ascii="宋体" w:hAnsi="宋体" w:cs="宋体"/>
          <w:color w:val="000000" w:themeColor="text1"/>
          <w:sz w:val="24"/>
          <w:highlight w:val="none"/>
          <w:lang w:eastAsia="zh-CN"/>
          <w14:textFill>
            <w14:solidFill>
              <w14:schemeClr w14:val="tx1"/>
            </w14:solidFill>
          </w14:textFill>
        </w:rPr>
        <w:t>785419524</w:t>
      </w:r>
      <w:r>
        <w:rPr>
          <w:rFonts w:hint="eastAsia" w:ascii="宋体" w:hAnsi="宋体" w:eastAsia="宋体" w:cs="宋体"/>
          <w:color w:val="000000" w:themeColor="text1"/>
          <w:sz w:val="24"/>
          <w:highlight w:val="none"/>
          <w14:textFill>
            <w14:solidFill>
              <w14:schemeClr w14:val="tx1"/>
            </w14:solidFill>
          </w14:textFill>
        </w:rPr>
        <w:t>@qq.</w:t>
      </w:r>
      <w:bookmarkEnd w:id="132"/>
      <w:r>
        <w:rPr>
          <w:rFonts w:hint="eastAsia" w:ascii="宋体" w:hAnsi="宋体" w:eastAsia="宋体" w:cs="宋体"/>
          <w:color w:val="000000" w:themeColor="text1"/>
          <w:sz w:val="24"/>
          <w:highlight w:val="none"/>
          <w14:textFill>
            <w14:solidFill>
              <w14:schemeClr w14:val="tx1"/>
            </w14:solidFill>
          </w14:textFill>
        </w:rPr>
        <w:t>com，电话：</w:t>
      </w:r>
      <w:r>
        <w:rPr>
          <w:rFonts w:hint="eastAsia" w:ascii="宋体" w:hAnsi="宋体" w:cs="宋体"/>
          <w:color w:val="000000" w:themeColor="text1"/>
          <w:sz w:val="24"/>
          <w:highlight w:val="none"/>
          <w:lang w:eastAsia="zh-CN"/>
          <w14:textFill>
            <w14:solidFill>
              <w14:schemeClr w14:val="tx1"/>
            </w14:solidFill>
          </w14:textFill>
        </w:rPr>
        <w:t>0514-80820678</w:t>
      </w:r>
      <w:r>
        <w:rPr>
          <w:rFonts w:hint="eastAsia" w:ascii="宋体" w:hAnsi="宋体" w:eastAsia="宋体" w:cs="宋体"/>
          <w:color w:val="000000" w:themeColor="text1"/>
          <w:sz w:val="24"/>
          <w:highlight w:val="none"/>
          <w14:textFill>
            <w14:solidFill>
              <w14:schemeClr w14:val="tx1"/>
            </w14:solidFill>
          </w14:textFill>
        </w:rPr>
        <w:t>）。</w:t>
      </w:r>
    </w:p>
    <w:p>
      <w:pPr>
        <w:pStyle w:val="113"/>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2、因投标人填写有误，造成以上信息资料的不实将由投标人承担责任。</w:t>
      </w:r>
    </w:p>
    <w:sectPr>
      <w:pgSz w:w="11905" w:h="16838"/>
      <w:pgMar w:top="1440" w:right="1080" w:bottom="1440" w:left="1080" w:header="850" w:footer="850"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Times New Roman"/>
    <w:panose1 w:val="00000000000000000000"/>
    <w:charset w:val="00"/>
    <w:family w:val="roman"/>
    <w:pitch w:val="default"/>
    <w:sig w:usb0="00000000" w:usb1="00000000" w:usb2="00000000" w:usb3="00000000" w:csb0="00000000" w:csb1="00000000"/>
  </w:font>
  <w:font w:name="宋体_GB2312">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w:t>
                    </w:r>
                    <w:r>
                      <w:fldChar w:fldCharType="end"/>
                    </w:r>
                  </w:p>
                </w:txbxContent>
              </v:textbox>
            </v:shape>
          </w:pict>
        </mc:Fallback>
      </mc:AlternateContent>
    </w:r>
  </w:p>
  <w:p>
    <w:pPr>
      <w:pStyle w:val="31"/>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900" w:hanging="900" w:hangingChars="500"/>
      <w:jc w:val="both"/>
      <w:rPr>
        <w:highlight w:val="none"/>
      </w:rPr>
    </w:pPr>
    <w:r>
      <w:rPr>
        <w:rFonts w:hint="eastAsia" w:cs="宋体"/>
        <w:szCs w:val="21"/>
        <w:highlight w:val="none"/>
      </w:rPr>
      <w:t>GZ4</w:t>
    </w:r>
    <w:r>
      <w:rPr>
        <w:rFonts w:hint="eastAsia" w:cs="宋体"/>
        <w:szCs w:val="21"/>
        <w:highlight w:val="none"/>
        <w:lang w:val="en-US" w:eastAsia="zh-CN"/>
      </w:rPr>
      <w:t>5</w:t>
    </w:r>
    <w:r>
      <w:rPr>
        <w:rFonts w:hint="eastAsia" w:cs="宋体"/>
        <w:szCs w:val="21"/>
        <w:highlight w:val="none"/>
      </w:rPr>
      <w:t>8</w:t>
    </w:r>
    <w:r>
      <w:rPr>
        <w:rFonts w:hint="eastAsia" w:ascii="宋体" w:hAnsi="宋体" w:cs="宋体"/>
        <w:szCs w:val="21"/>
        <w:highlight w:val="none"/>
      </w:rPr>
      <w:t xml:space="preserve">地块项目营销代理服务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cs="宋体"/>
        <w:szCs w:val="21"/>
        <w:highlight w:val="none"/>
        <w:lang w:eastAsia="zh-CN"/>
      </w:rPr>
      <w:t>JSZCZC2024013</w:t>
    </w:r>
    <w:r>
      <w:rPr>
        <w:rFonts w:hint="eastAsia" w:ascii="宋体" w:hAnsi="宋体" w:cs="宋体"/>
        <w:szCs w:val="21"/>
        <w:highlight w:val="none"/>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pPr>
    <w:r>
      <w:rPr>
        <w:rFonts w:hint="eastAsia" w:cs="宋体"/>
        <w:szCs w:val="21"/>
        <w:highlight w:val="yellow"/>
      </w:rPr>
      <w:t>GZ427</w:t>
    </w:r>
    <w:r>
      <w:rPr>
        <w:rFonts w:hint="eastAsia" w:ascii="宋体" w:hAnsi="宋体" w:cs="宋体"/>
        <w:szCs w:val="21"/>
        <w:highlight w:val="yellow"/>
      </w:rPr>
      <w:t>、</w:t>
    </w:r>
    <w:r>
      <w:rPr>
        <w:rFonts w:hint="eastAsia" w:cs="宋体"/>
        <w:szCs w:val="21"/>
        <w:highlight w:val="yellow"/>
      </w:rPr>
      <w:t>GZ428</w:t>
    </w:r>
    <w:r>
      <w:rPr>
        <w:rFonts w:hint="eastAsia" w:ascii="宋体" w:hAnsi="宋体" w:cs="宋体"/>
        <w:szCs w:val="21"/>
        <w:highlight w:val="yellow"/>
      </w:rPr>
      <w:t>地块项目供电设计服务项目</w:t>
    </w:r>
    <w:r>
      <w:rPr>
        <w:rFonts w:hint="eastAsia" w:ascii="宋体" w:hAnsi="宋体" w:cs="宋体"/>
        <w:szCs w:val="21"/>
      </w:rPr>
      <w:t xml:space="preserve">                                                         </w:t>
    </w:r>
    <w:r>
      <w:rPr>
        <w:rFonts w:hint="eastAsia" w:cs="宋体"/>
        <w:szCs w:val="21"/>
        <w:highlight w:val="yellow"/>
      </w:rPr>
      <w:t>HXZY202309</w:t>
    </w:r>
    <w:r>
      <w:rPr>
        <w:rFonts w:hint="eastAsia" w:ascii="宋体" w:hAnsi="宋体" w:cs="宋体"/>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826EA"/>
    <w:multiLevelType w:val="singleLevel"/>
    <w:tmpl w:val="844826EA"/>
    <w:lvl w:ilvl="0" w:tentative="0">
      <w:start w:val="2"/>
      <w:numFmt w:val="chineseCounting"/>
      <w:suff w:val="nothing"/>
      <w:lvlText w:val="（%1）"/>
      <w:lvlJc w:val="left"/>
      <w:rPr>
        <w:rFonts w:hint="eastAsia"/>
      </w:rPr>
    </w:lvl>
  </w:abstractNum>
  <w:abstractNum w:abstractNumId="1">
    <w:nsid w:val="900EE08B"/>
    <w:multiLevelType w:val="singleLevel"/>
    <w:tmpl w:val="900EE08B"/>
    <w:lvl w:ilvl="0" w:tentative="0">
      <w:start w:val="6"/>
      <w:numFmt w:val="chineseCounting"/>
      <w:suff w:val="nothing"/>
      <w:lvlText w:val="%1、"/>
      <w:lvlJc w:val="left"/>
      <w:rPr>
        <w:rFonts w:hint="eastAsia"/>
      </w:rPr>
    </w:lvl>
  </w:abstractNum>
  <w:abstractNum w:abstractNumId="2">
    <w:nsid w:val="C8D52A22"/>
    <w:multiLevelType w:val="singleLevel"/>
    <w:tmpl w:val="C8D52A22"/>
    <w:lvl w:ilvl="0" w:tentative="0">
      <w:start w:val="1"/>
      <w:numFmt w:val="decimal"/>
      <w:suff w:val="nothing"/>
      <w:lvlText w:val="%1．"/>
      <w:lvlJc w:val="left"/>
      <w:pPr>
        <w:ind w:left="0" w:firstLine="400"/>
      </w:pPr>
      <w:rPr>
        <w:rFonts w:hint="default" w:ascii="宋体" w:hAnsi="宋体" w:eastAsia="宋体" w:cs="宋体"/>
        <w:sz w:val="21"/>
        <w:szCs w:val="21"/>
      </w:rPr>
    </w:lvl>
  </w:abstractNum>
  <w:abstractNum w:abstractNumId="3">
    <w:nsid w:val="00000012"/>
    <w:multiLevelType w:val="multilevel"/>
    <w:tmpl w:val="00000012"/>
    <w:lvl w:ilvl="0" w:tentative="0">
      <w:start w:val="1"/>
      <w:numFmt w:val="japaneseCounting"/>
      <w:pStyle w:val="15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37"/>
      <w:isLgl/>
      <w:lvlText w:val="%1.%2"/>
      <w:lvlJc w:val="left"/>
      <w:pPr>
        <w:tabs>
          <w:tab w:val="left" w:pos="851"/>
        </w:tabs>
        <w:ind w:left="0" w:firstLine="0"/>
      </w:pPr>
    </w:lvl>
    <w:lvl w:ilvl="2" w:tentative="0">
      <w:start w:val="1"/>
      <w:numFmt w:val="decimal"/>
      <w:pStyle w:val="138"/>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5">
    <w:nsid w:val="43920263"/>
    <w:multiLevelType w:val="multilevel"/>
    <w:tmpl w:val="43920263"/>
    <w:lvl w:ilvl="0" w:tentative="0">
      <w:start w:val="1"/>
      <w:numFmt w:val="decimal"/>
      <w:suff w:val="nothing"/>
      <w:lvlText w:val="（%1）"/>
      <w:lvlJc w:val="left"/>
      <w:pPr>
        <w:ind w:left="1699" w:firstLine="428"/>
      </w:pPr>
      <w:rPr>
        <w:rFonts w:hint="default"/>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6">
    <w:nsid w:val="5E929EBA"/>
    <w:multiLevelType w:val="singleLevel"/>
    <w:tmpl w:val="5E929EBA"/>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7">
    <w:nsid w:val="6607547B"/>
    <w:multiLevelType w:val="multilevel"/>
    <w:tmpl w:val="6607547B"/>
    <w:lvl w:ilvl="0" w:tentative="0">
      <w:start w:val="1"/>
      <w:numFmt w:val="bullet"/>
      <w:pStyle w:val="9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11"/>
      <w:suff w:val="space"/>
      <w:lvlText w:val="%1.%2"/>
      <w:lvlJc w:val="left"/>
      <w:pPr>
        <w:ind w:left="851" w:hanging="567"/>
      </w:pPr>
      <w:rPr>
        <w:rFonts w:hint="default" w:ascii="Arial" w:hAnsi="Arial" w:eastAsia="黑体"/>
        <w:b/>
        <w:i w:val="0"/>
        <w:sz w:val="28"/>
        <w:szCs w:val="28"/>
      </w:rPr>
    </w:lvl>
    <w:lvl w:ilvl="2" w:tentative="0">
      <w:start w:val="1"/>
      <w:numFmt w:val="decimal"/>
      <w:pStyle w:val="1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6"/>
  </w:num>
  <w:num w:numId="3">
    <w:abstractNumId w:val="7"/>
  </w:num>
  <w:num w:numId="4">
    <w:abstractNumId w:val="4"/>
  </w:num>
  <w:num w:numId="5">
    <w:abstractNumId w:val="3"/>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DQ1N2UxNGMwYWQ4Mzc2NzY2YjM3ZjU0YjlkZTYifQ=="/>
  </w:docVars>
  <w:rsids>
    <w:rsidRoot w:val="00172A27"/>
    <w:rsid w:val="000019C0"/>
    <w:rsid w:val="00005E6E"/>
    <w:rsid w:val="00007D25"/>
    <w:rsid w:val="00014890"/>
    <w:rsid w:val="00020C65"/>
    <w:rsid w:val="00022909"/>
    <w:rsid w:val="000230C2"/>
    <w:rsid w:val="00025D01"/>
    <w:rsid w:val="00026B8D"/>
    <w:rsid w:val="0002713F"/>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A7E30"/>
    <w:rsid w:val="000B4012"/>
    <w:rsid w:val="000B77F1"/>
    <w:rsid w:val="000C0061"/>
    <w:rsid w:val="000C1CD5"/>
    <w:rsid w:val="000C72B8"/>
    <w:rsid w:val="000C777A"/>
    <w:rsid w:val="000D2D26"/>
    <w:rsid w:val="000E56D9"/>
    <w:rsid w:val="000E6A96"/>
    <w:rsid w:val="000F0C64"/>
    <w:rsid w:val="000F182C"/>
    <w:rsid w:val="000F6519"/>
    <w:rsid w:val="001044D2"/>
    <w:rsid w:val="001058CC"/>
    <w:rsid w:val="00123295"/>
    <w:rsid w:val="00125695"/>
    <w:rsid w:val="00127EF3"/>
    <w:rsid w:val="001319B7"/>
    <w:rsid w:val="00137FC8"/>
    <w:rsid w:val="001422C1"/>
    <w:rsid w:val="001576A2"/>
    <w:rsid w:val="0016427C"/>
    <w:rsid w:val="00165EE7"/>
    <w:rsid w:val="001668E3"/>
    <w:rsid w:val="00167C66"/>
    <w:rsid w:val="00172A27"/>
    <w:rsid w:val="001730CE"/>
    <w:rsid w:val="00177C17"/>
    <w:rsid w:val="001846A1"/>
    <w:rsid w:val="001870D5"/>
    <w:rsid w:val="001907F8"/>
    <w:rsid w:val="00196D12"/>
    <w:rsid w:val="001A0514"/>
    <w:rsid w:val="001A5C95"/>
    <w:rsid w:val="001B54EF"/>
    <w:rsid w:val="001C3AD3"/>
    <w:rsid w:val="001E1132"/>
    <w:rsid w:val="001E169E"/>
    <w:rsid w:val="001E2166"/>
    <w:rsid w:val="001E2C38"/>
    <w:rsid w:val="001E37B7"/>
    <w:rsid w:val="001E6572"/>
    <w:rsid w:val="001F4E4C"/>
    <w:rsid w:val="001F6218"/>
    <w:rsid w:val="00200AB4"/>
    <w:rsid w:val="00201540"/>
    <w:rsid w:val="0020662D"/>
    <w:rsid w:val="00207B85"/>
    <w:rsid w:val="002119D7"/>
    <w:rsid w:val="002211CF"/>
    <w:rsid w:val="00223153"/>
    <w:rsid w:val="0022450E"/>
    <w:rsid w:val="00227D41"/>
    <w:rsid w:val="00230DF0"/>
    <w:rsid w:val="002335EA"/>
    <w:rsid w:val="0024323A"/>
    <w:rsid w:val="00245070"/>
    <w:rsid w:val="00246BEC"/>
    <w:rsid w:val="00246F4C"/>
    <w:rsid w:val="0024763C"/>
    <w:rsid w:val="00250550"/>
    <w:rsid w:val="00251B8C"/>
    <w:rsid w:val="00251D06"/>
    <w:rsid w:val="00254988"/>
    <w:rsid w:val="00255987"/>
    <w:rsid w:val="00263341"/>
    <w:rsid w:val="002712D3"/>
    <w:rsid w:val="0027213B"/>
    <w:rsid w:val="00273BDC"/>
    <w:rsid w:val="00276B2C"/>
    <w:rsid w:val="00281397"/>
    <w:rsid w:val="00285783"/>
    <w:rsid w:val="00292B39"/>
    <w:rsid w:val="002A017F"/>
    <w:rsid w:val="002A410A"/>
    <w:rsid w:val="002A6AB3"/>
    <w:rsid w:val="002A6BDE"/>
    <w:rsid w:val="002B709D"/>
    <w:rsid w:val="002B7AD1"/>
    <w:rsid w:val="002C2B49"/>
    <w:rsid w:val="002C5259"/>
    <w:rsid w:val="002C7385"/>
    <w:rsid w:val="002D10E7"/>
    <w:rsid w:val="002D1702"/>
    <w:rsid w:val="002D35B9"/>
    <w:rsid w:val="002D5601"/>
    <w:rsid w:val="002E1845"/>
    <w:rsid w:val="002E408E"/>
    <w:rsid w:val="002E51F1"/>
    <w:rsid w:val="002E7C88"/>
    <w:rsid w:val="002F58C9"/>
    <w:rsid w:val="00301DFF"/>
    <w:rsid w:val="003023D4"/>
    <w:rsid w:val="003027CF"/>
    <w:rsid w:val="00305ABF"/>
    <w:rsid w:val="00307F65"/>
    <w:rsid w:val="00313754"/>
    <w:rsid w:val="00323720"/>
    <w:rsid w:val="003263B3"/>
    <w:rsid w:val="00327129"/>
    <w:rsid w:val="00335438"/>
    <w:rsid w:val="00335642"/>
    <w:rsid w:val="003425DA"/>
    <w:rsid w:val="00343D86"/>
    <w:rsid w:val="00346383"/>
    <w:rsid w:val="003568DE"/>
    <w:rsid w:val="00361FEA"/>
    <w:rsid w:val="003627B3"/>
    <w:rsid w:val="003627BF"/>
    <w:rsid w:val="00364779"/>
    <w:rsid w:val="00365754"/>
    <w:rsid w:val="00367458"/>
    <w:rsid w:val="00367B30"/>
    <w:rsid w:val="003714BD"/>
    <w:rsid w:val="00375C05"/>
    <w:rsid w:val="00376AF7"/>
    <w:rsid w:val="00380814"/>
    <w:rsid w:val="0038516A"/>
    <w:rsid w:val="003903A2"/>
    <w:rsid w:val="00392B26"/>
    <w:rsid w:val="003A220A"/>
    <w:rsid w:val="003A359C"/>
    <w:rsid w:val="003A4968"/>
    <w:rsid w:val="003A4B3B"/>
    <w:rsid w:val="003A7F58"/>
    <w:rsid w:val="003B5703"/>
    <w:rsid w:val="003C1FC7"/>
    <w:rsid w:val="003C2A0F"/>
    <w:rsid w:val="003C3B82"/>
    <w:rsid w:val="003C492F"/>
    <w:rsid w:val="003C7CCC"/>
    <w:rsid w:val="003D6D88"/>
    <w:rsid w:val="003E5365"/>
    <w:rsid w:val="003E5E22"/>
    <w:rsid w:val="003E7761"/>
    <w:rsid w:val="003F1096"/>
    <w:rsid w:val="0040195D"/>
    <w:rsid w:val="00402ECA"/>
    <w:rsid w:val="004145D2"/>
    <w:rsid w:val="00420A7D"/>
    <w:rsid w:val="004218C8"/>
    <w:rsid w:val="004253F5"/>
    <w:rsid w:val="00425826"/>
    <w:rsid w:val="00433DC9"/>
    <w:rsid w:val="00443F99"/>
    <w:rsid w:val="00452A28"/>
    <w:rsid w:val="004564BC"/>
    <w:rsid w:val="00462A9D"/>
    <w:rsid w:val="00463F0D"/>
    <w:rsid w:val="004716A9"/>
    <w:rsid w:val="00471B4B"/>
    <w:rsid w:val="00472F78"/>
    <w:rsid w:val="00475065"/>
    <w:rsid w:val="004751C3"/>
    <w:rsid w:val="00480AAD"/>
    <w:rsid w:val="00480B1F"/>
    <w:rsid w:val="00493AE2"/>
    <w:rsid w:val="004A5A08"/>
    <w:rsid w:val="004B1EF9"/>
    <w:rsid w:val="004C1807"/>
    <w:rsid w:val="004C26E5"/>
    <w:rsid w:val="004C5637"/>
    <w:rsid w:val="004D495D"/>
    <w:rsid w:val="004E3BE6"/>
    <w:rsid w:val="004E5984"/>
    <w:rsid w:val="004F4841"/>
    <w:rsid w:val="00502382"/>
    <w:rsid w:val="00506853"/>
    <w:rsid w:val="0051416B"/>
    <w:rsid w:val="00516709"/>
    <w:rsid w:val="00520FFE"/>
    <w:rsid w:val="005344A8"/>
    <w:rsid w:val="00551E71"/>
    <w:rsid w:val="00556017"/>
    <w:rsid w:val="0055727C"/>
    <w:rsid w:val="005717B7"/>
    <w:rsid w:val="0057433B"/>
    <w:rsid w:val="00577078"/>
    <w:rsid w:val="00577FA0"/>
    <w:rsid w:val="00593904"/>
    <w:rsid w:val="005A52A9"/>
    <w:rsid w:val="005A54DE"/>
    <w:rsid w:val="005A5850"/>
    <w:rsid w:val="005B2833"/>
    <w:rsid w:val="005B30AF"/>
    <w:rsid w:val="005B32FB"/>
    <w:rsid w:val="005B4240"/>
    <w:rsid w:val="005B4574"/>
    <w:rsid w:val="005B68FA"/>
    <w:rsid w:val="005D3427"/>
    <w:rsid w:val="005D6AC0"/>
    <w:rsid w:val="005E0FC4"/>
    <w:rsid w:val="005E11FE"/>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614C"/>
    <w:rsid w:val="00671FA3"/>
    <w:rsid w:val="00673D67"/>
    <w:rsid w:val="00676312"/>
    <w:rsid w:val="00677EBE"/>
    <w:rsid w:val="006823E6"/>
    <w:rsid w:val="00685CB4"/>
    <w:rsid w:val="00685F29"/>
    <w:rsid w:val="00693368"/>
    <w:rsid w:val="006951DB"/>
    <w:rsid w:val="006953C1"/>
    <w:rsid w:val="00697B16"/>
    <w:rsid w:val="006B5E2B"/>
    <w:rsid w:val="006C0C9A"/>
    <w:rsid w:val="006C2E2C"/>
    <w:rsid w:val="006E0E28"/>
    <w:rsid w:val="006F1536"/>
    <w:rsid w:val="006F27D9"/>
    <w:rsid w:val="006F5E47"/>
    <w:rsid w:val="006F6381"/>
    <w:rsid w:val="0070025B"/>
    <w:rsid w:val="00701BB9"/>
    <w:rsid w:val="00713DEA"/>
    <w:rsid w:val="00720170"/>
    <w:rsid w:val="00721072"/>
    <w:rsid w:val="007270CE"/>
    <w:rsid w:val="00730B81"/>
    <w:rsid w:val="00730E59"/>
    <w:rsid w:val="0073562C"/>
    <w:rsid w:val="0074004C"/>
    <w:rsid w:val="007408A5"/>
    <w:rsid w:val="007418BD"/>
    <w:rsid w:val="00745DFA"/>
    <w:rsid w:val="007477AB"/>
    <w:rsid w:val="00756B64"/>
    <w:rsid w:val="007603F4"/>
    <w:rsid w:val="00760CC0"/>
    <w:rsid w:val="007617BF"/>
    <w:rsid w:val="00763383"/>
    <w:rsid w:val="00766CAC"/>
    <w:rsid w:val="007701BF"/>
    <w:rsid w:val="00772B32"/>
    <w:rsid w:val="00776450"/>
    <w:rsid w:val="00780281"/>
    <w:rsid w:val="00791C72"/>
    <w:rsid w:val="00792695"/>
    <w:rsid w:val="007A2EFB"/>
    <w:rsid w:val="007A5DFE"/>
    <w:rsid w:val="007B1E23"/>
    <w:rsid w:val="007B273A"/>
    <w:rsid w:val="007B2C11"/>
    <w:rsid w:val="007B35C1"/>
    <w:rsid w:val="007B3A4C"/>
    <w:rsid w:val="007B590F"/>
    <w:rsid w:val="007B6C63"/>
    <w:rsid w:val="007C00B9"/>
    <w:rsid w:val="007C1DF2"/>
    <w:rsid w:val="007C27D4"/>
    <w:rsid w:val="007C5B83"/>
    <w:rsid w:val="007D3281"/>
    <w:rsid w:val="007D6EB2"/>
    <w:rsid w:val="007E136C"/>
    <w:rsid w:val="007E19BA"/>
    <w:rsid w:val="007E49AA"/>
    <w:rsid w:val="007F0DD4"/>
    <w:rsid w:val="007F3DF5"/>
    <w:rsid w:val="007F5486"/>
    <w:rsid w:val="007F67ED"/>
    <w:rsid w:val="00803647"/>
    <w:rsid w:val="00804681"/>
    <w:rsid w:val="008075FB"/>
    <w:rsid w:val="00811ACF"/>
    <w:rsid w:val="0081258C"/>
    <w:rsid w:val="00826ACF"/>
    <w:rsid w:val="00830898"/>
    <w:rsid w:val="00836B63"/>
    <w:rsid w:val="00856255"/>
    <w:rsid w:val="008656DE"/>
    <w:rsid w:val="00865FCE"/>
    <w:rsid w:val="00867902"/>
    <w:rsid w:val="00871A87"/>
    <w:rsid w:val="008757ED"/>
    <w:rsid w:val="00881C5B"/>
    <w:rsid w:val="00884235"/>
    <w:rsid w:val="008902E7"/>
    <w:rsid w:val="008A2A68"/>
    <w:rsid w:val="008B2F0E"/>
    <w:rsid w:val="008B74F0"/>
    <w:rsid w:val="008C20AE"/>
    <w:rsid w:val="008C5E15"/>
    <w:rsid w:val="008D0AD3"/>
    <w:rsid w:val="008D188B"/>
    <w:rsid w:val="008D68A0"/>
    <w:rsid w:val="008E1A4F"/>
    <w:rsid w:val="008E3AB9"/>
    <w:rsid w:val="008E68EE"/>
    <w:rsid w:val="008E7FCB"/>
    <w:rsid w:val="008F21F7"/>
    <w:rsid w:val="008F2A60"/>
    <w:rsid w:val="008F572D"/>
    <w:rsid w:val="00917CC0"/>
    <w:rsid w:val="00920789"/>
    <w:rsid w:val="00920BA6"/>
    <w:rsid w:val="0092300A"/>
    <w:rsid w:val="0092361E"/>
    <w:rsid w:val="00923813"/>
    <w:rsid w:val="00927C99"/>
    <w:rsid w:val="00933C04"/>
    <w:rsid w:val="00952D5A"/>
    <w:rsid w:val="00957669"/>
    <w:rsid w:val="00960CA2"/>
    <w:rsid w:val="00963830"/>
    <w:rsid w:val="009651A0"/>
    <w:rsid w:val="00970D8F"/>
    <w:rsid w:val="00973A82"/>
    <w:rsid w:val="00974AE3"/>
    <w:rsid w:val="00986D27"/>
    <w:rsid w:val="00986F99"/>
    <w:rsid w:val="00990D24"/>
    <w:rsid w:val="009911BA"/>
    <w:rsid w:val="00995A0D"/>
    <w:rsid w:val="009A21AF"/>
    <w:rsid w:val="009A38E2"/>
    <w:rsid w:val="009A751C"/>
    <w:rsid w:val="009B51EC"/>
    <w:rsid w:val="009B6A3A"/>
    <w:rsid w:val="009C3DE3"/>
    <w:rsid w:val="009C509B"/>
    <w:rsid w:val="009C6F8D"/>
    <w:rsid w:val="009D2803"/>
    <w:rsid w:val="009D6EAF"/>
    <w:rsid w:val="009E19AE"/>
    <w:rsid w:val="009E3DDC"/>
    <w:rsid w:val="009E4B9B"/>
    <w:rsid w:val="009E741A"/>
    <w:rsid w:val="009F66F4"/>
    <w:rsid w:val="00A04163"/>
    <w:rsid w:val="00A1683E"/>
    <w:rsid w:val="00A236EE"/>
    <w:rsid w:val="00A25B37"/>
    <w:rsid w:val="00A312EB"/>
    <w:rsid w:val="00A35630"/>
    <w:rsid w:val="00A3636C"/>
    <w:rsid w:val="00A4003E"/>
    <w:rsid w:val="00A41612"/>
    <w:rsid w:val="00A50AFF"/>
    <w:rsid w:val="00A51774"/>
    <w:rsid w:val="00A55F85"/>
    <w:rsid w:val="00A5775D"/>
    <w:rsid w:val="00A632CA"/>
    <w:rsid w:val="00A72C40"/>
    <w:rsid w:val="00A74780"/>
    <w:rsid w:val="00A758C0"/>
    <w:rsid w:val="00A929BA"/>
    <w:rsid w:val="00A9434B"/>
    <w:rsid w:val="00AA555A"/>
    <w:rsid w:val="00AB525E"/>
    <w:rsid w:val="00AB6A34"/>
    <w:rsid w:val="00AB6E4A"/>
    <w:rsid w:val="00AC4137"/>
    <w:rsid w:val="00AC5138"/>
    <w:rsid w:val="00AC575E"/>
    <w:rsid w:val="00AC6A6E"/>
    <w:rsid w:val="00AD0911"/>
    <w:rsid w:val="00AD65CC"/>
    <w:rsid w:val="00AE30E6"/>
    <w:rsid w:val="00AE3760"/>
    <w:rsid w:val="00AE4496"/>
    <w:rsid w:val="00AE5A59"/>
    <w:rsid w:val="00AF3E25"/>
    <w:rsid w:val="00B01D59"/>
    <w:rsid w:val="00B041B7"/>
    <w:rsid w:val="00B07122"/>
    <w:rsid w:val="00B137BC"/>
    <w:rsid w:val="00B13FB7"/>
    <w:rsid w:val="00B22BA3"/>
    <w:rsid w:val="00B33FDF"/>
    <w:rsid w:val="00B34B91"/>
    <w:rsid w:val="00B415E7"/>
    <w:rsid w:val="00B42C0C"/>
    <w:rsid w:val="00B472CB"/>
    <w:rsid w:val="00B51674"/>
    <w:rsid w:val="00B60642"/>
    <w:rsid w:val="00B60C3F"/>
    <w:rsid w:val="00B61112"/>
    <w:rsid w:val="00B63DCD"/>
    <w:rsid w:val="00B707FD"/>
    <w:rsid w:val="00B76A59"/>
    <w:rsid w:val="00B77A90"/>
    <w:rsid w:val="00B81DAE"/>
    <w:rsid w:val="00B84E5D"/>
    <w:rsid w:val="00B932F1"/>
    <w:rsid w:val="00B97FBD"/>
    <w:rsid w:val="00BA7E51"/>
    <w:rsid w:val="00BB00EE"/>
    <w:rsid w:val="00BB18ED"/>
    <w:rsid w:val="00BB25D3"/>
    <w:rsid w:val="00BB47FE"/>
    <w:rsid w:val="00BB571F"/>
    <w:rsid w:val="00BC2A7D"/>
    <w:rsid w:val="00BC5B67"/>
    <w:rsid w:val="00BD4032"/>
    <w:rsid w:val="00BD5C25"/>
    <w:rsid w:val="00BF40C7"/>
    <w:rsid w:val="00C01A84"/>
    <w:rsid w:val="00C02E20"/>
    <w:rsid w:val="00C122CB"/>
    <w:rsid w:val="00C123F6"/>
    <w:rsid w:val="00C14E04"/>
    <w:rsid w:val="00C24AA4"/>
    <w:rsid w:val="00C26EFB"/>
    <w:rsid w:val="00C2780C"/>
    <w:rsid w:val="00C304CA"/>
    <w:rsid w:val="00C315A0"/>
    <w:rsid w:val="00C37562"/>
    <w:rsid w:val="00C41ADB"/>
    <w:rsid w:val="00C45EAD"/>
    <w:rsid w:val="00C4767D"/>
    <w:rsid w:val="00C52BA3"/>
    <w:rsid w:val="00C52E5B"/>
    <w:rsid w:val="00C551F6"/>
    <w:rsid w:val="00C567D8"/>
    <w:rsid w:val="00C61265"/>
    <w:rsid w:val="00C6205B"/>
    <w:rsid w:val="00C65E3A"/>
    <w:rsid w:val="00C665FC"/>
    <w:rsid w:val="00C75D6B"/>
    <w:rsid w:val="00C767FF"/>
    <w:rsid w:val="00C87D28"/>
    <w:rsid w:val="00C90B34"/>
    <w:rsid w:val="00C935FD"/>
    <w:rsid w:val="00C94B36"/>
    <w:rsid w:val="00C97300"/>
    <w:rsid w:val="00CA15C5"/>
    <w:rsid w:val="00CB5834"/>
    <w:rsid w:val="00CB5C0F"/>
    <w:rsid w:val="00CB70BE"/>
    <w:rsid w:val="00CB70D0"/>
    <w:rsid w:val="00CC26FE"/>
    <w:rsid w:val="00CC498A"/>
    <w:rsid w:val="00CD4C1B"/>
    <w:rsid w:val="00CD620C"/>
    <w:rsid w:val="00CE1044"/>
    <w:rsid w:val="00CE2814"/>
    <w:rsid w:val="00CF013C"/>
    <w:rsid w:val="00CF01C3"/>
    <w:rsid w:val="00D05A20"/>
    <w:rsid w:val="00D1539F"/>
    <w:rsid w:val="00D239E5"/>
    <w:rsid w:val="00D32713"/>
    <w:rsid w:val="00D42281"/>
    <w:rsid w:val="00D43768"/>
    <w:rsid w:val="00D46FDB"/>
    <w:rsid w:val="00D60E8F"/>
    <w:rsid w:val="00DA0464"/>
    <w:rsid w:val="00DB3030"/>
    <w:rsid w:val="00DB68F4"/>
    <w:rsid w:val="00DC6555"/>
    <w:rsid w:val="00DC715B"/>
    <w:rsid w:val="00DD142C"/>
    <w:rsid w:val="00DD3BAA"/>
    <w:rsid w:val="00DD4670"/>
    <w:rsid w:val="00DE6968"/>
    <w:rsid w:val="00DF1158"/>
    <w:rsid w:val="00E00FEC"/>
    <w:rsid w:val="00E103D1"/>
    <w:rsid w:val="00E17EB7"/>
    <w:rsid w:val="00E206B8"/>
    <w:rsid w:val="00E22AAF"/>
    <w:rsid w:val="00E32AC6"/>
    <w:rsid w:val="00E35949"/>
    <w:rsid w:val="00E40031"/>
    <w:rsid w:val="00E42A08"/>
    <w:rsid w:val="00E42E49"/>
    <w:rsid w:val="00E43018"/>
    <w:rsid w:val="00E47470"/>
    <w:rsid w:val="00E530D0"/>
    <w:rsid w:val="00E56AF3"/>
    <w:rsid w:val="00E67802"/>
    <w:rsid w:val="00E71638"/>
    <w:rsid w:val="00E76934"/>
    <w:rsid w:val="00E76F5E"/>
    <w:rsid w:val="00E80B01"/>
    <w:rsid w:val="00E85B6E"/>
    <w:rsid w:val="00E939A6"/>
    <w:rsid w:val="00E975B4"/>
    <w:rsid w:val="00EB2F61"/>
    <w:rsid w:val="00EC5569"/>
    <w:rsid w:val="00ED340C"/>
    <w:rsid w:val="00ED45A4"/>
    <w:rsid w:val="00ED50B0"/>
    <w:rsid w:val="00EE0B3F"/>
    <w:rsid w:val="00EE197D"/>
    <w:rsid w:val="00EE2B02"/>
    <w:rsid w:val="00EE6300"/>
    <w:rsid w:val="00EF39B2"/>
    <w:rsid w:val="00EF4E9D"/>
    <w:rsid w:val="00EF5B6F"/>
    <w:rsid w:val="00F03817"/>
    <w:rsid w:val="00F03ECC"/>
    <w:rsid w:val="00F10F71"/>
    <w:rsid w:val="00F11211"/>
    <w:rsid w:val="00F11CE1"/>
    <w:rsid w:val="00F1674B"/>
    <w:rsid w:val="00F22F36"/>
    <w:rsid w:val="00F306AC"/>
    <w:rsid w:val="00F347C1"/>
    <w:rsid w:val="00F47605"/>
    <w:rsid w:val="00F52C7F"/>
    <w:rsid w:val="00F53EE8"/>
    <w:rsid w:val="00F54E06"/>
    <w:rsid w:val="00F56155"/>
    <w:rsid w:val="00F70A38"/>
    <w:rsid w:val="00F70DB4"/>
    <w:rsid w:val="00F80FD5"/>
    <w:rsid w:val="00F938F3"/>
    <w:rsid w:val="00FA0504"/>
    <w:rsid w:val="00FA1260"/>
    <w:rsid w:val="00FA23BB"/>
    <w:rsid w:val="00FA3820"/>
    <w:rsid w:val="00FA48C1"/>
    <w:rsid w:val="00FB0910"/>
    <w:rsid w:val="00FB5806"/>
    <w:rsid w:val="00FB6CBD"/>
    <w:rsid w:val="00FB7443"/>
    <w:rsid w:val="00FD2B76"/>
    <w:rsid w:val="00FD4826"/>
    <w:rsid w:val="00FE3B3E"/>
    <w:rsid w:val="00FE54D1"/>
    <w:rsid w:val="00FF3189"/>
    <w:rsid w:val="010A3F89"/>
    <w:rsid w:val="01147664"/>
    <w:rsid w:val="014852B3"/>
    <w:rsid w:val="014A20AA"/>
    <w:rsid w:val="014F6641"/>
    <w:rsid w:val="015661FD"/>
    <w:rsid w:val="015754F6"/>
    <w:rsid w:val="016A385C"/>
    <w:rsid w:val="0190002F"/>
    <w:rsid w:val="01AF3871"/>
    <w:rsid w:val="01B2363B"/>
    <w:rsid w:val="01E62509"/>
    <w:rsid w:val="01FC1D65"/>
    <w:rsid w:val="02391CBE"/>
    <w:rsid w:val="02864546"/>
    <w:rsid w:val="0295174E"/>
    <w:rsid w:val="02A129E4"/>
    <w:rsid w:val="02C32E43"/>
    <w:rsid w:val="0318608E"/>
    <w:rsid w:val="0327540B"/>
    <w:rsid w:val="033F7FE7"/>
    <w:rsid w:val="0366524E"/>
    <w:rsid w:val="03774BB7"/>
    <w:rsid w:val="037F7583"/>
    <w:rsid w:val="03803476"/>
    <w:rsid w:val="039F3184"/>
    <w:rsid w:val="03D17ED7"/>
    <w:rsid w:val="03DB186A"/>
    <w:rsid w:val="03DF1EFE"/>
    <w:rsid w:val="0400691B"/>
    <w:rsid w:val="04025AD9"/>
    <w:rsid w:val="041B7F09"/>
    <w:rsid w:val="0443753C"/>
    <w:rsid w:val="04490265"/>
    <w:rsid w:val="045A5870"/>
    <w:rsid w:val="04640655"/>
    <w:rsid w:val="047249C9"/>
    <w:rsid w:val="04744FA3"/>
    <w:rsid w:val="04812218"/>
    <w:rsid w:val="04903AD9"/>
    <w:rsid w:val="04B87651"/>
    <w:rsid w:val="04B94150"/>
    <w:rsid w:val="0529090D"/>
    <w:rsid w:val="053262C9"/>
    <w:rsid w:val="053C5584"/>
    <w:rsid w:val="05621969"/>
    <w:rsid w:val="056260C9"/>
    <w:rsid w:val="058014BF"/>
    <w:rsid w:val="059252BD"/>
    <w:rsid w:val="059960EF"/>
    <w:rsid w:val="059D1295"/>
    <w:rsid w:val="05A36F5B"/>
    <w:rsid w:val="05A73AFD"/>
    <w:rsid w:val="05A8296F"/>
    <w:rsid w:val="05A84572"/>
    <w:rsid w:val="05C07B0D"/>
    <w:rsid w:val="05C77851"/>
    <w:rsid w:val="05C926CC"/>
    <w:rsid w:val="05E4431E"/>
    <w:rsid w:val="061B066C"/>
    <w:rsid w:val="06492499"/>
    <w:rsid w:val="064A7E91"/>
    <w:rsid w:val="06810BA8"/>
    <w:rsid w:val="068E55C1"/>
    <w:rsid w:val="06911C3B"/>
    <w:rsid w:val="06AF5879"/>
    <w:rsid w:val="06D42563"/>
    <w:rsid w:val="06EE6E7F"/>
    <w:rsid w:val="070236A1"/>
    <w:rsid w:val="07287718"/>
    <w:rsid w:val="07341AD0"/>
    <w:rsid w:val="07661F59"/>
    <w:rsid w:val="07807B2F"/>
    <w:rsid w:val="07960924"/>
    <w:rsid w:val="07A95FE9"/>
    <w:rsid w:val="07B40EAC"/>
    <w:rsid w:val="080F2686"/>
    <w:rsid w:val="08190F56"/>
    <w:rsid w:val="08393538"/>
    <w:rsid w:val="08456EC3"/>
    <w:rsid w:val="087E0C00"/>
    <w:rsid w:val="088A56FB"/>
    <w:rsid w:val="089D5EE4"/>
    <w:rsid w:val="08A454C4"/>
    <w:rsid w:val="08AF5C79"/>
    <w:rsid w:val="08B17DA8"/>
    <w:rsid w:val="08FF7E5C"/>
    <w:rsid w:val="090D5C29"/>
    <w:rsid w:val="09366338"/>
    <w:rsid w:val="093D1475"/>
    <w:rsid w:val="0941247D"/>
    <w:rsid w:val="09AD2157"/>
    <w:rsid w:val="09AF0299"/>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63132E"/>
    <w:rsid w:val="0B76745B"/>
    <w:rsid w:val="0B790F87"/>
    <w:rsid w:val="0B937386"/>
    <w:rsid w:val="0BA913B1"/>
    <w:rsid w:val="0BA92DF2"/>
    <w:rsid w:val="0BB80A2A"/>
    <w:rsid w:val="0C1500FB"/>
    <w:rsid w:val="0C1E3FB3"/>
    <w:rsid w:val="0C2C71EC"/>
    <w:rsid w:val="0C460641"/>
    <w:rsid w:val="0C646C7F"/>
    <w:rsid w:val="0C6D59CB"/>
    <w:rsid w:val="0C760F26"/>
    <w:rsid w:val="0C8147C0"/>
    <w:rsid w:val="0CA46614"/>
    <w:rsid w:val="0CDB33A0"/>
    <w:rsid w:val="0CE36C56"/>
    <w:rsid w:val="0D051C6D"/>
    <w:rsid w:val="0D167985"/>
    <w:rsid w:val="0D3D4789"/>
    <w:rsid w:val="0D975B9D"/>
    <w:rsid w:val="0D9A1F60"/>
    <w:rsid w:val="0DA05E56"/>
    <w:rsid w:val="0DAE064C"/>
    <w:rsid w:val="0DBF3E85"/>
    <w:rsid w:val="0DC83A03"/>
    <w:rsid w:val="0E0808D3"/>
    <w:rsid w:val="0E2826F4"/>
    <w:rsid w:val="0E6949F8"/>
    <w:rsid w:val="0E6E00CC"/>
    <w:rsid w:val="0E824D74"/>
    <w:rsid w:val="0EB75826"/>
    <w:rsid w:val="0EB866E6"/>
    <w:rsid w:val="0EBE0962"/>
    <w:rsid w:val="0EE762C8"/>
    <w:rsid w:val="0EEC0458"/>
    <w:rsid w:val="0EF53995"/>
    <w:rsid w:val="0EFB2099"/>
    <w:rsid w:val="0F013342"/>
    <w:rsid w:val="0F0634FD"/>
    <w:rsid w:val="0F221C81"/>
    <w:rsid w:val="0F3D5D2B"/>
    <w:rsid w:val="0F783207"/>
    <w:rsid w:val="0F897EFA"/>
    <w:rsid w:val="0FC50B86"/>
    <w:rsid w:val="0FCD78B5"/>
    <w:rsid w:val="0FF231C2"/>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3725E9"/>
    <w:rsid w:val="113F2383"/>
    <w:rsid w:val="116465C8"/>
    <w:rsid w:val="118B5FC4"/>
    <w:rsid w:val="11A55E09"/>
    <w:rsid w:val="11AE0EEB"/>
    <w:rsid w:val="11AE73EA"/>
    <w:rsid w:val="11B154B3"/>
    <w:rsid w:val="11C942DB"/>
    <w:rsid w:val="11D92D5F"/>
    <w:rsid w:val="11FA561F"/>
    <w:rsid w:val="12157FD3"/>
    <w:rsid w:val="12217B86"/>
    <w:rsid w:val="12243CB9"/>
    <w:rsid w:val="12252F49"/>
    <w:rsid w:val="122D7B58"/>
    <w:rsid w:val="125C5E86"/>
    <w:rsid w:val="12616F5B"/>
    <w:rsid w:val="126953E9"/>
    <w:rsid w:val="127016BC"/>
    <w:rsid w:val="12766ADD"/>
    <w:rsid w:val="127E0401"/>
    <w:rsid w:val="12A367ED"/>
    <w:rsid w:val="12A94511"/>
    <w:rsid w:val="12AA3B32"/>
    <w:rsid w:val="12BF1B25"/>
    <w:rsid w:val="132114D3"/>
    <w:rsid w:val="13323552"/>
    <w:rsid w:val="133D3A0D"/>
    <w:rsid w:val="13496C75"/>
    <w:rsid w:val="135561EF"/>
    <w:rsid w:val="135810F3"/>
    <w:rsid w:val="13885631"/>
    <w:rsid w:val="13CD0E50"/>
    <w:rsid w:val="13FF5F47"/>
    <w:rsid w:val="14240AE9"/>
    <w:rsid w:val="142D5748"/>
    <w:rsid w:val="14434554"/>
    <w:rsid w:val="1461426A"/>
    <w:rsid w:val="14695E50"/>
    <w:rsid w:val="14A357D1"/>
    <w:rsid w:val="14C85AED"/>
    <w:rsid w:val="14F047C6"/>
    <w:rsid w:val="14F52974"/>
    <w:rsid w:val="150311A8"/>
    <w:rsid w:val="150F4C6A"/>
    <w:rsid w:val="15152BD4"/>
    <w:rsid w:val="15387EE4"/>
    <w:rsid w:val="153A0547"/>
    <w:rsid w:val="153C476C"/>
    <w:rsid w:val="155618F4"/>
    <w:rsid w:val="158226E9"/>
    <w:rsid w:val="15945E76"/>
    <w:rsid w:val="15950236"/>
    <w:rsid w:val="15AE56B5"/>
    <w:rsid w:val="15B115CA"/>
    <w:rsid w:val="15D102A5"/>
    <w:rsid w:val="15D1381B"/>
    <w:rsid w:val="15DD16E1"/>
    <w:rsid w:val="16296601"/>
    <w:rsid w:val="16666B06"/>
    <w:rsid w:val="167F4E7B"/>
    <w:rsid w:val="16985F3D"/>
    <w:rsid w:val="16B34B25"/>
    <w:rsid w:val="16B41E5A"/>
    <w:rsid w:val="16C1342F"/>
    <w:rsid w:val="16D64677"/>
    <w:rsid w:val="17191DC0"/>
    <w:rsid w:val="17575A01"/>
    <w:rsid w:val="1787048B"/>
    <w:rsid w:val="17D31922"/>
    <w:rsid w:val="17DE5A58"/>
    <w:rsid w:val="181028E7"/>
    <w:rsid w:val="18232B29"/>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30087"/>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70A6A"/>
    <w:rsid w:val="1ABE351D"/>
    <w:rsid w:val="1AD34D95"/>
    <w:rsid w:val="1ADD0F40"/>
    <w:rsid w:val="1B083F18"/>
    <w:rsid w:val="1B1B7A0F"/>
    <w:rsid w:val="1B252495"/>
    <w:rsid w:val="1B2B0548"/>
    <w:rsid w:val="1B34646B"/>
    <w:rsid w:val="1B4D19EC"/>
    <w:rsid w:val="1B9A3332"/>
    <w:rsid w:val="1B9A77D0"/>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223AE6"/>
    <w:rsid w:val="1E790232"/>
    <w:rsid w:val="1E9B2A6E"/>
    <w:rsid w:val="1EA638ED"/>
    <w:rsid w:val="1EA742AC"/>
    <w:rsid w:val="1ED23F64"/>
    <w:rsid w:val="1F2A4B98"/>
    <w:rsid w:val="1F356A1F"/>
    <w:rsid w:val="1F526BC6"/>
    <w:rsid w:val="1F865520"/>
    <w:rsid w:val="1FB24C3A"/>
    <w:rsid w:val="1FDF0657"/>
    <w:rsid w:val="1FE65CE6"/>
    <w:rsid w:val="1FE8604B"/>
    <w:rsid w:val="1FF2569A"/>
    <w:rsid w:val="1FF463D5"/>
    <w:rsid w:val="1FFC578E"/>
    <w:rsid w:val="20167523"/>
    <w:rsid w:val="202B4220"/>
    <w:rsid w:val="204E5543"/>
    <w:rsid w:val="2060013F"/>
    <w:rsid w:val="206834BD"/>
    <w:rsid w:val="207321A0"/>
    <w:rsid w:val="20895224"/>
    <w:rsid w:val="20915ED7"/>
    <w:rsid w:val="20A42133"/>
    <w:rsid w:val="20B13E1B"/>
    <w:rsid w:val="20C6325D"/>
    <w:rsid w:val="20D61385"/>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2001566"/>
    <w:rsid w:val="220D13B9"/>
    <w:rsid w:val="22192027"/>
    <w:rsid w:val="223F0F06"/>
    <w:rsid w:val="2242450B"/>
    <w:rsid w:val="22523B67"/>
    <w:rsid w:val="225C58BC"/>
    <w:rsid w:val="229A2632"/>
    <w:rsid w:val="229C4140"/>
    <w:rsid w:val="22A36B16"/>
    <w:rsid w:val="22D33263"/>
    <w:rsid w:val="22DF513C"/>
    <w:rsid w:val="22F10EAE"/>
    <w:rsid w:val="22F12B28"/>
    <w:rsid w:val="23097672"/>
    <w:rsid w:val="232A43C0"/>
    <w:rsid w:val="233B35C2"/>
    <w:rsid w:val="23647A30"/>
    <w:rsid w:val="23864075"/>
    <w:rsid w:val="23A14683"/>
    <w:rsid w:val="23BF7C0E"/>
    <w:rsid w:val="23CC2EB8"/>
    <w:rsid w:val="23D73D77"/>
    <w:rsid w:val="23D90C2C"/>
    <w:rsid w:val="23E01FBA"/>
    <w:rsid w:val="23EA427B"/>
    <w:rsid w:val="23F636C6"/>
    <w:rsid w:val="240E6855"/>
    <w:rsid w:val="24540B16"/>
    <w:rsid w:val="24875A2C"/>
    <w:rsid w:val="24B62301"/>
    <w:rsid w:val="24CD6BFD"/>
    <w:rsid w:val="24F96F87"/>
    <w:rsid w:val="250F2A44"/>
    <w:rsid w:val="252D4BC0"/>
    <w:rsid w:val="254E083A"/>
    <w:rsid w:val="25583467"/>
    <w:rsid w:val="256A5F77"/>
    <w:rsid w:val="25743E32"/>
    <w:rsid w:val="257A0918"/>
    <w:rsid w:val="257A33DD"/>
    <w:rsid w:val="257C3E8D"/>
    <w:rsid w:val="25975E02"/>
    <w:rsid w:val="25BB7248"/>
    <w:rsid w:val="25C95A2E"/>
    <w:rsid w:val="25CA602F"/>
    <w:rsid w:val="25EF2298"/>
    <w:rsid w:val="26115962"/>
    <w:rsid w:val="261A696E"/>
    <w:rsid w:val="263B3556"/>
    <w:rsid w:val="26432C75"/>
    <w:rsid w:val="264D6D44"/>
    <w:rsid w:val="266015DF"/>
    <w:rsid w:val="26795443"/>
    <w:rsid w:val="267B4673"/>
    <w:rsid w:val="2699420E"/>
    <w:rsid w:val="26AC3A6A"/>
    <w:rsid w:val="26C07516"/>
    <w:rsid w:val="26E553D2"/>
    <w:rsid w:val="26FD7713"/>
    <w:rsid w:val="2729067E"/>
    <w:rsid w:val="27486BE1"/>
    <w:rsid w:val="274B4611"/>
    <w:rsid w:val="27604855"/>
    <w:rsid w:val="27754D55"/>
    <w:rsid w:val="27B22E94"/>
    <w:rsid w:val="27B43EA5"/>
    <w:rsid w:val="27D71B4D"/>
    <w:rsid w:val="27F01E7F"/>
    <w:rsid w:val="27F71E0B"/>
    <w:rsid w:val="28091D92"/>
    <w:rsid w:val="282B4E63"/>
    <w:rsid w:val="283D06F2"/>
    <w:rsid w:val="28416434"/>
    <w:rsid w:val="2889159A"/>
    <w:rsid w:val="288A2F1E"/>
    <w:rsid w:val="28EF40E2"/>
    <w:rsid w:val="28FC68AF"/>
    <w:rsid w:val="29000A4D"/>
    <w:rsid w:val="290E29F1"/>
    <w:rsid w:val="29311F82"/>
    <w:rsid w:val="294A3793"/>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D236BC"/>
    <w:rsid w:val="2BEC12EB"/>
    <w:rsid w:val="2BEE0AA1"/>
    <w:rsid w:val="2C0C1DA5"/>
    <w:rsid w:val="2C2E0A7D"/>
    <w:rsid w:val="2C370F78"/>
    <w:rsid w:val="2C4D16AB"/>
    <w:rsid w:val="2C6721E1"/>
    <w:rsid w:val="2C824718"/>
    <w:rsid w:val="2C8314BD"/>
    <w:rsid w:val="2C864DE9"/>
    <w:rsid w:val="2C8903AA"/>
    <w:rsid w:val="2C895051"/>
    <w:rsid w:val="2C8B0B3A"/>
    <w:rsid w:val="2C8F3D11"/>
    <w:rsid w:val="2CEB4BC0"/>
    <w:rsid w:val="2CFC2245"/>
    <w:rsid w:val="2D03024E"/>
    <w:rsid w:val="2D1C5D81"/>
    <w:rsid w:val="2D403128"/>
    <w:rsid w:val="2D430559"/>
    <w:rsid w:val="2D6332E3"/>
    <w:rsid w:val="2D6D1A79"/>
    <w:rsid w:val="2D761C5B"/>
    <w:rsid w:val="2D855015"/>
    <w:rsid w:val="2DA80AA4"/>
    <w:rsid w:val="2DC05C8C"/>
    <w:rsid w:val="2DC603B0"/>
    <w:rsid w:val="2DC60572"/>
    <w:rsid w:val="2DC83473"/>
    <w:rsid w:val="2DCE2518"/>
    <w:rsid w:val="2DD81143"/>
    <w:rsid w:val="2DF126AA"/>
    <w:rsid w:val="2DFF2D38"/>
    <w:rsid w:val="2E051BB0"/>
    <w:rsid w:val="2E2C0C0E"/>
    <w:rsid w:val="2E424AD5"/>
    <w:rsid w:val="2E4D4EB1"/>
    <w:rsid w:val="2E63770B"/>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C14B3"/>
    <w:rsid w:val="30795D57"/>
    <w:rsid w:val="309F0C17"/>
    <w:rsid w:val="30B26121"/>
    <w:rsid w:val="30C304D6"/>
    <w:rsid w:val="30D305ED"/>
    <w:rsid w:val="30DF21D8"/>
    <w:rsid w:val="30DF4A3C"/>
    <w:rsid w:val="30E3452C"/>
    <w:rsid w:val="30E35CD7"/>
    <w:rsid w:val="30EB6B90"/>
    <w:rsid w:val="30F527B5"/>
    <w:rsid w:val="31031ABB"/>
    <w:rsid w:val="31095EB7"/>
    <w:rsid w:val="311A3576"/>
    <w:rsid w:val="31210BB1"/>
    <w:rsid w:val="31624FF7"/>
    <w:rsid w:val="31694894"/>
    <w:rsid w:val="31767E09"/>
    <w:rsid w:val="318740E6"/>
    <w:rsid w:val="319A2075"/>
    <w:rsid w:val="31A122DC"/>
    <w:rsid w:val="31DD0B43"/>
    <w:rsid w:val="31E367AE"/>
    <w:rsid w:val="31F90ACE"/>
    <w:rsid w:val="32030D9C"/>
    <w:rsid w:val="321A3FE1"/>
    <w:rsid w:val="32350BDD"/>
    <w:rsid w:val="32356802"/>
    <w:rsid w:val="323745C1"/>
    <w:rsid w:val="3256600A"/>
    <w:rsid w:val="326E5139"/>
    <w:rsid w:val="327552C6"/>
    <w:rsid w:val="3281224F"/>
    <w:rsid w:val="3290321D"/>
    <w:rsid w:val="3298326D"/>
    <w:rsid w:val="329D62BB"/>
    <w:rsid w:val="32EF58AD"/>
    <w:rsid w:val="32F83B93"/>
    <w:rsid w:val="3312598C"/>
    <w:rsid w:val="33174961"/>
    <w:rsid w:val="33257E48"/>
    <w:rsid w:val="332E1621"/>
    <w:rsid w:val="33374064"/>
    <w:rsid w:val="337D6E4D"/>
    <w:rsid w:val="33832185"/>
    <w:rsid w:val="3397632B"/>
    <w:rsid w:val="33AA6217"/>
    <w:rsid w:val="33BB251E"/>
    <w:rsid w:val="33C003F5"/>
    <w:rsid w:val="33CB7272"/>
    <w:rsid w:val="33DC34B5"/>
    <w:rsid w:val="33FD3B57"/>
    <w:rsid w:val="340E77BD"/>
    <w:rsid w:val="341F025F"/>
    <w:rsid w:val="345C0F3B"/>
    <w:rsid w:val="345F57F0"/>
    <w:rsid w:val="34725263"/>
    <w:rsid w:val="348D1AFE"/>
    <w:rsid w:val="34931E83"/>
    <w:rsid w:val="34A95A08"/>
    <w:rsid w:val="34D27CD0"/>
    <w:rsid w:val="34E44D57"/>
    <w:rsid w:val="34F32864"/>
    <w:rsid w:val="34FE1C66"/>
    <w:rsid w:val="35056D25"/>
    <w:rsid w:val="358565CB"/>
    <w:rsid w:val="35873BE8"/>
    <w:rsid w:val="359053A7"/>
    <w:rsid w:val="35A9281B"/>
    <w:rsid w:val="35CC6426"/>
    <w:rsid w:val="35D92384"/>
    <w:rsid w:val="360321A8"/>
    <w:rsid w:val="3605657F"/>
    <w:rsid w:val="360C07B5"/>
    <w:rsid w:val="362A6239"/>
    <w:rsid w:val="36483084"/>
    <w:rsid w:val="365A26BB"/>
    <w:rsid w:val="367156B7"/>
    <w:rsid w:val="36B80EC6"/>
    <w:rsid w:val="36FD6A43"/>
    <w:rsid w:val="370365F0"/>
    <w:rsid w:val="37230D73"/>
    <w:rsid w:val="372A182D"/>
    <w:rsid w:val="3731741A"/>
    <w:rsid w:val="3734489C"/>
    <w:rsid w:val="37377380"/>
    <w:rsid w:val="374D305C"/>
    <w:rsid w:val="375B24F4"/>
    <w:rsid w:val="377811B2"/>
    <w:rsid w:val="379374F6"/>
    <w:rsid w:val="379B0CD1"/>
    <w:rsid w:val="379E7D35"/>
    <w:rsid w:val="37E46E47"/>
    <w:rsid w:val="37E57B17"/>
    <w:rsid w:val="380D779F"/>
    <w:rsid w:val="38440F4D"/>
    <w:rsid w:val="384F13C8"/>
    <w:rsid w:val="384F4255"/>
    <w:rsid w:val="3888350A"/>
    <w:rsid w:val="388F4F9A"/>
    <w:rsid w:val="38A2410F"/>
    <w:rsid w:val="38A91D3A"/>
    <w:rsid w:val="38D66E2B"/>
    <w:rsid w:val="38EC55CD"/>
    <w:rsid w:val="391502A5"/>
    <w:rsid w:val="39300AE7"/>
    <w:rsid w:val="394B2E21"/>
    <w:rsid w:val="39643D30"/>
    <w:rsid w:val="39877520"/>
    <w:rsid w:val="398A15F5"/>
    <w:rsid w:val="39921A2C"/>
    <w:rsid w:val="399E1043"/>
    <w:rsid w:val="39E029D9"/>
    <w:rsid w:val="39FA6D9E"/>
    <w:rsid w:val="39FB16BB"/>
    <w:rsid w:val="3A2B0EC0"/>
    <w:rsid w:val="3A5244D1"/>
    <w:rsid w:val="3A531D55"/>
    <w:rsid w:val="3A594774"/>
    <w:rsid w:val="3A7B009F"/>
    <w:rsid w:val="3A98558D"/>
    <w:rsid w:val="3A993EAE"/>
    <w:rsid w:val="3ABE10DA"/>
    <w:rsid w:val="3AD76AA2"/>
    <w:rsid w:val="3AD97FA3"/>
    <w:rsid w:val="3AE71B98"/>
    <w:rsid w:val="3B223C30"/>
    <w:rsid w:val="3B4E6A46"/>
    <w:rsid w:val="3B556F95"/>
    <w:rsid w:val="3B7C6B99"/>
    <w:rsid w:val="3B855315"/>
    <w:rsid w:val="3BB735A4"/>
    <w:rsid w:val="3BBF5B96"/>
    <w:rsid w:val="3BC92571"/>
    <w:rsid w:val="3BDE13A3"/>
    <w:rsid w:val="3BFA5647"/>
    <w:rsid w:val="3C120E6A"/>
    <w:rsid w:val="3C2D6E01"/>
    <w:rsid w:val="3C556CDF"/>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3029C2"/>
    <w:rsid w:val="3D515006"/>
    <w:rsid w:val="3D6234C3"/>
    <w:rsid w:val="3D7E738B"/>
    <w:rsid w:val="3D9372DA"/>
    <w:rsid w:val="3DCC4B8F"/>
    <w:rsid w:val="3DD15104"/>
    <w:rsid w:val="3DD94315"/>
    <w:rsid w:val="3DE87BE1"/>
    <w:rsid w:val="3DE9119F"/>
    <w:rsid w:val="3DEE01D0"/>
    <w:rsid w:val="3DF2364F"/>
    <w:rsid w:val="3E004E45"/>
    <w:rsid w:val="3E011E09"/>
    <w:rsid w:val="3E037DEE"/>
    <w:rsid w:val="3E16775C"/>
    <w:rsid w:val="3E2D3ADD"/>
    <w:rsid w:val="3E3E26BC"/>
    <w:rsid w:val="3E4A722A"/>
    <w:rsid w:val="3E725142"/>
    <w:rsid w:val="3E7D51A9"/>
    <w:rsid w:val="3E8E1DA2"/>
    <w:rsid w:val="3E916A5A"/>
    <w:rsid w:val="3E924510"/>
    <w:rsid w:val="3EA82911"/>
    <w:rsid w:val="3EAD660D"/>
    <w:rsid w:val="3EBC4E0C"/>
    <w:rsid w:val="3EBE3D30"/>
    <w:rsid w:val="3EBE688D"/>
    <w:rsid w:val="3EE375AA"/>
    <w:rsid w:val="3EF257D5"/>
    <w:rsid w:val="3EF35980"/>
    <w:rsid w:val="3F3348D1"/>
    <w:rsid w:val="3F456E1B"/>
    <w:rsid w:val="3F47037C"/>
    <w:rsid w:val="3F620D12"/>
    <w:rsid w:val="3FA71E53"/>
    <w:rsid w:val="3FA93517"/>
    <w:rsid w:val="3FB92672"/>
    <w:rsid w:val="3FCC2890"/>
    <w:rsid w:val="3FD70CAC"/>
    <w:rsid w:val="3FE95A65"/>
    <w:rsid w:val="3FF4481B"/>
    <w:rsid w:val="400413F2"/>
    <w:rsid w:val="40550877"/>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E559F8"/>
    <w:rsid w:val="41F70D38"/>
    <w:rsid w:val="41F93B45"/>
    <w:rsid w:val="422C6789"/>
    <w:rsid w:val="42372C80"/>
    <w:rsid w:val="423D5D3E"/>
    <w:rsid w:val="425E6E9F"/>
    <w:rsid w:val="42B8327D"/>
    <w:rsid w:val="42ED682D"/>
    <w:rsid w:val="42F0520E"/>
    <w:rsid w:val="42FF06A5"/>
    <w:rsid w:val="430B2902"/>
    <w:rsid w:val="431B5DA8"/>
    <w:rsid w:val="431C7624"/>
    <w:rsid w:val="43371D8D"/>
    <w:rsid w:val="433D2264"/>
    <w:rsid w:val="434D3A87"/>
    <w:rsid w:val="435463A4"/>
    <w:rsid w:val="43587AB4"/>
    <w:rsid w:val="43650DD1"/>
    <w:rsid w:val="436726B5"/>
    <w:rsid w:val="439273CB"/>
    <w:rsid w:val="439A6B87"/>
    <w:rsid w:val="43D61518"/>
    <w:rsid w:val="43F403A7"/>
    <w:rsid w:val="441A32DB"/>
    <w:rsid w:val="442C5396"/>
    <w:rsid w:val="443B3C2E"/>
    <w:rsid w:val="4460151D"/>
    <w:rsid w:val="4469669F"/>
    <w:rsid w:val="44A627CC"/>
    <w:rsid w:val="44AD4091"/>
    <w:rsid w:val="44B61E0D"/>
    <w:rsid w:val="44D00C52"/>
    <w:rsid w:val="44D2650B"/>
    <w:rsid w:val="44D775CB"/>
    <w:rsid w:val="44E829DD"/>
    <w:rsid w:val="44F654BA"/>
    <w:rsid w:val="45270B59"/>
    <w:rsid w:val="4545456F"/>
    <w:rsid w:val="454C7BFE"/>
    <w:rsid w:val="45562E35"/>
    <w:rsid w:val="456164E8"/>
    <w:rsid w:val="456C1931"/>
    <w:rsid w:val="45784023"/>
    <w:rsid w:val="457E261E"/>
    <w:rsid w:val="45855CD6"/>
    <w:rsid w:val="458B54AD"/>
    <w:rsid w:val="45C63289"/>
    <w:rsid w:val="45CF1E73"/>
    <w:rsid w:val="45D96A26"/>
    <w:rsid w:val="45DD3120"/>
    <w:rsid w:val="45EC1828"/>
    <w:rsid w:val="46035E2A"/>
    <w:rsid w:val="4622744D"/>
    <w:rsid w:val="46282C26"/>
    <w:rsid w:val="463B5BC5"/>
    <w:rsid w:val="467025FE"/>
    <w:rsid w:val="468A6DA0"/>
    <w:rsid w:val="468A7B42"/>
    <w:rsid w:val="46B64F8A"/>
    <w:rsid w:val="46D63D94"/>
    <w:rsid w:val="46E040D0"/>
    <w:rsid w:val="471072A6"/>
    <w:rsid w:val="472970A3"/>
    <w:rsid w:val="473847CE"/>
    <w:rsid w:val="47841291"/>
    <w:rsid w:val="478815A4"/>
    <w:rsid w:val="47956B8B"/>
    <w:rsid w:val="48144180"/>
    <w:rsid w:val="481E5F94"/>
    <w:rsid w:val="484020B6"/>
    <w:rsid w:val="48486A94"/>
    <w:rsid w:val="48743864"/>
    <w:rsid w:val="48825F81"/>
    <w:rsid w:val="48BC308B"/>
    <w:rsid w:val="48BF2D31"/>
    <w:rsid w:val="48F07F74"/>
    <w:rsid w:val="48F469A5"/>
    <w:rsid w:val="48F855DB"/>
    <w:rsid w:val="490E5A67"/>
    <w:rsid w:val="49187AC7"/>
    <w:rsid w:val="491A4D01"/>
    <w:rsid w:val="49240122"/>
    <w:rsid w:val="49547B0C"/>
    <w:rsid w:val="496B2EB9"/>
    <w:rsid w:val="49832B0D"/>
    <w:rsid w:val="49BB7388"/>
    <w:rsid w:val="4A0E0A59"/>
    <w:rsid w:val="4A6E4B59"/>
    <w:rsid w:val="4A91498E"/>
    <w:rsid w:val="4AAF7BFB"/>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873F56"/>
    <w:rsid w:val="4C9F2B28"/>
    <w:rsid w:val="4CAD5A89"/>
    <w:rsid w:val="4CC1579B"/>
    <w:rsid w:val="4CCB1397"/>
    <w:rsid w:val="4D212819"/>
    <w:rsid w:val="4D3527AD"/>
    <w:rsid w:val="4D3D00F7"/>
    <w:rsid w:val="4D45291A"/>
    <w:rsid w:val="4D456EA9"/>
    <w:rsid w:val="4D602609"/>
    <w:rsid w:val="4D65056D"/>
    <w:rsid w:val="4D9924C6"/>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CA2424"/>
    <w:rsid w:val="4EDB3C52"/>
    <w:rsid w:val="4EE929C6"/>
    <w:rsid w:val="4EEF5154"/>
    <w:rsid w:val="4EF56C32"/>
    <w:rsid w:val="4F1061EC"/>
    <w:rsid w:val="4F1E3F3F"/>
    <w:rsid w:val="4F506DD9"/>
    <w:rsid w:val="4F5D3A49"/>
    <w:rsid w:val="4F616B49"/>
    <w:rsid w:val="4F653C85"/>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9F64EA"/>
    <w:rsid w:val="50D951B9"/>
    <w:rsid w:val="5107548C"/>
    <w:rsid w:val="514A376F"/>
    <w:rsid w:val="51551400"/>
    <w:rsid w:val="51765264"/>
    <w:rsid w:val="518C60C3"/>
    <w:rsid w:val="51AD17C9"/>
    <w:rsid w:val="51BA4D0B"/>
    <w:rsid w:val="51BF4C79"/>
    <w:rsid w:val="51CC4711"/>
    <w:rsid w:val="51D56F72"/>
    <w:rsid w:val="51DE5E73"/>
    <w:rsid w:val="51F04BAA"/>
    <w:rsid w:val="520E0008"/>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E24A41"/>
    <w:rsid w:val="52FB705C"/>
    <w:rsid w:val="53226CDE"/>
    <w:rsid w:val="5338454D"/>
    <w:rsid w:val="533C446C"/>
    <w:rsid w:val="534704F3"/>
    <w:rsid w:val="5380249C"/>
    <w:rsid w:val="538A3DAA"/>
    <w:rsid w:val="53A771E4"/>
    <w:rsid w:val="53D0546E"/>
    <w:rsid w:val="53D371F1"/>
    <w:rsid w:val="53D43A7A"/>
    <w:rsid w:val="53DB008F"/>
    <w:rsid w:val="53F00B8B"/>
    <w:rsid w:val="541A5C08"/>
    <w:rsid w:val="541E2959"/>
    <w:rsid w:val="542645AC"/>
    <w:rsid w:val="542A2766"/>
    <w:rsid w:val="54407D28"/>
    <w:rsid w:val="546809C3"/>
    <w:rsid w:val="54686A74"/>
    <w:rsid w:val="54A40765"/>
    <w:rsid w:val="54AD1AA9"/>
    <w:rsid w:val="550C25F6"/>
    <w:rsid w:val="550D7D43"/>
    <w:rsid w:val="551A4D4B"/>
    <w:rsid w:val="552C4E53"/>
    <w:rsid w:val="553C58A3"/>
    <w:rsid w:val="5563546E"/>
    <w:rsid w:val="556D697F"/>
    <w:rsid w:val="55C77BB4"/>
    <w:rsid w:val="55EC2C79"/>
    <w:rsid w:val="560F5B43"/>
    <w:rsid w:val="56106CE3"/>
    <w:rsid w:val="5621502B"/>
    <w:rsid w:val="56293017"/>
    <w:rsid w:val="56352B49"/>
    <w:rsid w:val="564E7CA4"/>
    <w:rsid w:val="56560192"/>
    <w:rsid w:val="56A7009D"/>
    <w:rsid w:val="56C3379B"/>
    <w:rsid w:val="56E11A08"/>
    <w:rsid w:val="575E4B81"/>
    <w:rsid w:val="576F0018"/>
    <w:rsid w:val="57830771"/>
    <w:rsid w:val="57880DB6"/>
    <w:rsid w:val="578F7037"/>
    <w:rsid w:val="57B1656F"/>
    <w:rsid w:val="57B25122"/>
    <w:rsid w:val="57BA1393"/>
    <w:rsid w:val="57C11FCB"/>
    <w:rsid w:val="57D20B1A"/>
    <w:rsid w:val="57DB7A6F"/>
    <w:rsid w:val="57E740DE"/>
    <w:rsid w:val="58070251"/>
    <w:rsid w:val="58962B1F"/>
    <w:rsid w:val="58C779E0"/>
    <w:rsid w:val="58DA03D3"/>
    <w:rsid w:val="592130AC"/>
    <w:rsid w:val="59255BE0"/>
    <w:rsid w:val="592B61C1"/>
    <w:rsid w:val="59450855"/>
    <w:rsid w:val="597F7976"/>
    <w:rsid w:val="5989229C"/>
    <w:rsid w:val="5996188C"/>
    <w:rsid w:val="59B77E1F"/>
    <w:rsid w:val="59B969AF"/>
    <w:rsid w:val="59C94812"/>
    <w:rsid w:val="59DA7D0F"/>
    <w:rsid w:val="59FD32F3"/>
    <w:rsid w:val="5A00746C"/>
    <w:rsid w:val="5A215B83"/>
    <w:rsid w:val="5A2971D5"/>
    <w:rsid w:val="5A2E1325"/>
    <w:rsid w:val="5A814DBE"/>
    <w:rsid w:val="5A9E6296"/>
    <w:rsid w:val="5AB50438"/>
    <w:rsid w:val="5AD15085"/>
    <w:rsid w:val="5AED1980"/>
    <w:rsid w:val="5B043935"/>
    <w:rsid w:val="5B092532"/>
    <w:rsid w:val="5B260C7C"/>
    <w:rsid w:val="5B48714E"/>
    <w:rsid w:val="5B687259"/>
    <w:rsid w:val="5B86184C"/>
    <w:rsid w:val="5B8A2CDB"/>
    <w:rsid w:val="5B8C7D6C"/>
    <w:rsid w:val="5B974C66"/>
    <w:rsid w:val="5BA34735"/>
    <w:rsid w:val="5BAF2BC1"/>
    <w:rsid w:val="5BC629F7"/>
    <w:rsid w:val="5BE022CB"/>
    <w:rsid w:val="5BFF22D3"/>
    <w:rsid w:val="5C1D0736"/>
    <w:rsid w:val="5C8118C1"/>
    <w:rsid w:val="5C853E3A"/>
    <w:rsid w:val="5CD814DE"/>
    <w:rsid w:val="5CDC4040"/>
    <w:rsid w:val="5CE24106"/>
    <w:rsid w:val="5D377AC1"/>
    <w:rsid w:val="5D485594"/>
    <w:rsid w:val="5D647EF4"/>
    <w:rsid w:val="5D76013F"/>
    <w:rsid w:val="5D903607"/>
    <w:rsid w:val="5D9F6BFC"/>
    <w:rsid w:val="5DB306DA"/>
    <w:rsid w:val="5DB524FD"/>
    <w:rsid w:val="5DB944F7"/>
    <w:rsid w:val="5DDA45C0"/>
    <w:rsid w:val="5DF748C4"/>
    <w:rsid w:val="5E053647"/>
    <w:rsid w:val="5E113BD7"/>
    <w:rsid w:val="5E3923F5"/>
    <w:rsid w:val="5E3F70B2"/>
    <w:rsid w:val="5E4915C3"/>
    <w:rsid w:val="5E626589"/>
    <w:rsid w:val="5E6767D9"/>
    <w:rsid w:val="5E9E66DE"/>
    <w:rsid w:val="5EA00288"/>
    <w:rsid w:val="5EBF1885"/>
    <w:rsid w:val="5EC0589E"/>
    <w:rsid w:val="5EDF5A84"/>
    <w:rsid w:val="5F0A1F1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F61B9"/>
    <w:rsid w:val="6028330A"/>
    <w:rsid w:val="60620E8B"/>
    <w:rsid w:val="60D648BD"/>
    <w:rsid w:val="60E0280F"/>
    <w:rsid w:val="60FB0B6F"/>
    <w:rsid w:val="610B7004"/>
    <w:rsid w:val="6115578D"/>
    <w:rsid w:val="61533568"/>
    <w:rsid w:val="61734BA9"/>
    <w:rsid w:val="61B905BF"/>
    <w:rsid w:val="61BA6334"/>
    <w:rsid w:val="61C147ED"/>
    <w:rsid w:val="61E66498"/>
    <w:rsid w:val="61F37A2B"/>
    <w:rsid w:val="61FB6E70"/>
    <w:rsid w:val="623F72F3"/>
    <w:rsid w:val="6260512D"/>
    <w:rsid w:val="626B2577"/>
    <w:rsid w:val="626D0AAD"/>
    <w:rsid w:val="62740BD9"/>
    <w:rsid w:val="62951EAB"/>
    <w:rsid w:val="62C113E6"/>
    <w:rsid w:val="62D42C39"/>
    <w:rsid w:val="62D84F52"/>
    <w:rsid w:val="62DB32CF"/>
    <w:rsid w:val="63263F3F"/>
    <w:rsid w:val="632C402D"/>
    <w:rsid w:val="634132DF"/>
    <w:rsid w:val="6355792A"/>
    <w:rsid w:val="63673F82"/>
    <w:rsid w:val="637B37F4"/>
    <w:rsid w:val="639257BA"/>
    <w:rsid w:val="639A44C1"/>
    <w:rsid w:val="639C4DF2"/>
    <w:rsid w:val="639C513F"/>
    <w:rsid w:val="63A1123C"/>
    <w:rsid w:val="63A91FCC"/>
    <w:rsid w:val="63DB3FB5"/>
    <w:rsid w:val="63E3295D"/>
    <w:rsid w:val="63E559AB"/>
    <w:rsid w:val="63FC5AE3"/>
    <w:rsid w:val="640815D9"/>
    <w:rsid w:val="641622A7"/>
    <w:rsid w:val="641D7082"/>
    <w:rsid w:val="643F22FE"/>
    <w:rsid w:val="644105DB"/>
    <w:rsid w:val="644243B8"/>
    <w:rsid w:val="64463E84"/>
    <w:rsid w:val="648132C7"/>
    <w:rsid w:val="64906592"/>
    <w:rsid w:val="64A023DE"/>
    <w:rsid w:val="64A84B6A"/>
    <w:rsid w:val="64C24883"/>
    <w:rsid w:val="64C9072A"/>
    <w:rsid w:val="64D616D7"/>
    <w:rsid w:val="64E8140A"/>
    <w:rsid w:val="656B696E"/>
    <w:rsid w:val="656C1925"/>
    <w:rsid w:val="656C7082"/>
    <w:rsid w:val="657D1B52"/>
    <w:rsid w:val="657E37B3"/>
    <w:rsid w:val="65A0248C"/>
    <w:rsid w:val="65BD7661"/>
    <w:rsid w:val="65C741F1"/>
    <w:rsid w:val="65F27082"/>
    <w:rsid w:val="660C65A4"/>
    <w:rsid w:val="662277E8"/>
    <w:rsid w:val="662D0A4D"/>
    <w:rsid w:val="66322BA5"/>
    <w:rsid w:val="665F39EB"/>
    <w:rsid w:val="66751CE5"/>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1C5653"/>
    <w:rsid w:val="684B7EA4"/>
    <w:rsid w:val="68525D99"/>
    <w:rsid w:val="68577AE5"/>
    <w:rsid w:val="686D5F80"/>
    <w:rsid w:val="68917132"/>
    <w:rsid w:val="689734BD"/>
    <w:rsid w:val="68A14C0D"/>
    <w:rsid w:val="68AD205B"/>
    <w:rsid w:val="68B856E1"/>
    <w:rsid w:val="68CA292A"/>
    <w:rsid w:val="68F04F75"/>
    <w:rsid w:val="68F14D31"/>
    <w:rsid w:val="6922138F"/>
    <w:rsid w:val="69265661"/>
    <w:rsid w:val="692E096F"/>
    <w:rsid w:val="69360704"/>
    <w:rsid w:val="69490149"/>
    <w:rsid w:val="696C260A"/>
    <w:rsid w:val="69BB4ADC"/>
    <w:rsid w:val="69C82DA7"/>
    <w:rsid w:val="6A197ABD"/>
    <w:rsid w:val="6A4D5FF3"/>
    <w:rsid w:val="6A527A52"/>
    <w:rsid w:val="6A615A8D"/>
    <w:rsid w:val="6A7F2529"/>
    <w:rsid w:val="6AA3205B"/>
    <w:rsid w:val="6AC42C22"/>
    <w:rsid w:val="6AF26B3F"/>
    <w:rsid w:val="6B633598"/>
    <w:rsid w:val="6B6D0A30"/>
    <w:rsid w:val="6B7164B9"/>
    <w:rsid w:val="6B771E09"/>
    <w:rsid w:val="6B826114"/>
    <w:rsid w:val="6B95409A"/>
    <w:rsid w:val="6B9B0D5E"/>
    <w:rsid w:val="6BE80FAB"/>
    <w:rsid w:val="6BEC3CBA"/>
    <w:rsid w:val="6BEE2087"/>
    <w:rsid w:val="6BEF1585"/>
    <w:rsid w:val="6BF32B3B"/>
    <w:rsid w:val="6C525289"/>
    <w:rsid w:val="6C56658C"/>
    <w:rsid w:val="6C642948"/>
    <w:rsid w:val="6C910CB6"/>
    <w:rsid w:val="6CA200F0"/>
    <w:rsid w:val="6CD03F54"/>
    <w:rsid w:val="6CEB1285"/>
    <w:rsid w:val="6CED1384"/>
    <w:rsid w:val="6D054B70"/>
    <w:rsid w:val="6D15200A"/>
    <w:rsid w:val="6D1B7997"/>
    <w:rsid w:val="6D30394E"/>
    <w:rsid w:val="6D3E73FE"/>
    <w:rsid w:val="6D497BF3"/>
    <w:rsid w:val="6D6C376E"/>
    <w:rsid w:val="6D6D06FE"/>
    <w:rsid w:val="6DA86F37"/>
    <w:rsid w:val="6DC4078E"/>
    <w:rsid w:val="6DD82E6F"/>
    <w:rsid w:val="6DF8036A"/>
    <w:rsid w:val="6DFB7D5C"/>
    <w:rsid w:val="6DFC0FA6"/>
    <w:rsid w:val="6DFE2388"/>
    <w:rsid w:val="6E020473"/>
    <w:rsid w:val="6E2313F4"/>
    <w:rsid w:val="6E91666F"/>
    <w:rsid w:val="6E9E6D02"/>
    <w:rsid w:val="6EA14806"/>
    <w:rsid w:val="6EB47B1E"/>
    <w:rsid w:val="6EBE1A25"/>
    <w:rsid w:val="6EE056DD"/>
    <w:rsid w:val="6EF13B31"/>
    <w:rsid w:val="6F0B4673"/>
    <w:rsid w:val="6F194DE9"/>
    <w:rsid w:val="6F2006A7"/>
    <w:rsid w:val="6F27315B"/>
    <w:rsid w:val="6F414857"/>
    <w:rsid w:val="6F5558EE"/>
    <w:rsid w:val="6F6B17AC"/>
    <w:rsid w:val="6FA80114"/>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192EC9"/>
    <w:rsid w:val="71244BCB"/>
    <w:rsid w:val="713C1469"/>
    <w:rsid w:val="71771B4C"/>
    <w:rsid w:val="71777C1F"/>
    <w:rsid w:val="71B75279"/>
    <w:rsid w:val="71C01F58"/>
    <w:rsid w:val="72085132"/>
    <w:rsid w:val="720C2BDC"/>
    <w:rsid w:val="72601582"/>
    <w:rsid w:val="726105EC"/>
    <w:rsid w:val="726E54DD"/>
    <w:rsid w:val="72A2430F"/>
    <w:rsid w:val="72A3091A"/>
    <w:rsid w:val="72BE7F8F"/>
    <w:rsid w:val="72C6583F"/>
    <w:rsid w:val="72D134DE"/>
    <w:rsid w:val="72D42A57"/>
    <w:rsid w:val="72EE1403"/>
    <w:rsid w:val="72FD0776"/>
    <w:rsid w:val="730055E4"/>
    <w:rsid w:val="73065F55"/>
    <w:rsid w:val="730B44CC"/>
    <w:rsid w:val="7318110C"/>
    <w:rsid w:val="73610C3C"/>
    <w:rsid w:val="736224F9"/>
    <w:rsid w:val="73677EED"/>
    <w:rsid w:val="73697BBA"/>
    <w:rsid w:val="73763936"/>
    <w:rsid w:val="73AB5F07"/>
    <w:rsid w:val="74046AE0"/>
    <w:rsid w:val="740E49D2"/>
    <w:rsid w:val="743256E2"/>
    <w:rsid w:val="74432492"/>
    <w:rsid w:val="744C3893"/>
    <w:rsid w:val="74503106"/>
    <w:rsid w:val="745D4D67"/>
    <w:rsid w:val="74793E2D"/>
    <w:rsid w:val="748D05FE"/>
    <w:rsid w:val="74904F5A"/>
    <w:rsid w:val="74933A6B"/>
    <w:rsid w:val="74AC1655"/>
    <w:rsid w:val="74BD7A58"/>
    <w:rsid w:val="74C4007A"/>
    <w:rsid w:val="74F13428"/>
    <w:rsid w:val="750116AA"/>
    <w:rsid w:val="75073709"/>
    <w:rsid w:val="750F2972"/>
    <w:rsid w:val="753A7B6F"/>
    <w:rsid w:val="755820E5"/>
    <w:rsid w:val="756F6C3E"/>
    <w:rsid w:val="75740598"/>
    <w:rsid w:val="75746B39"/>
    <w:rsid w:val="75776D67"/>
    <w:rsid w:val="75977D48"/>
    <w:rsid w:val="759F3AEC"/>
    <w:rsid w:val="75A32CD3"/>
    <w:rsid w:val="75A43018"/>
    <w:rsid w:val="75B722A8"/>
    <w:rsid w:val="75CA1CF2"/>
    <w:rsid w:val="75E031FF"/>
    <w:rsid w:val="75FD6E26"/>
    <w:rsid w:val="75FE0616"/>
    <w:rsid w:val="760910BF"/>
    <w:rsid w:val="763B7516"/>
    <w:rsid w:val="765663F6"/>
    <w:rsid w:val="76AA29C3"/>
    <w:rsid w:val="76BA0E58"/>
    <w:rsid w:val="76E52476"/>
    <w:rsid w:val="771012B7"/>
    <w:rsid w:val="772C5186"/>
    <w:rsid w:val="773F0D3E"/>
    <w:rsid w:val="77413FFC"/>
    <w:rsid w:val="775E7605"/>
    <w:rsid w:val="778C6877"/>
    <w:rsid w:val="779C410A"/>
    <w:rsid w:val="77B26915"/>
    <w:rsid w:val="77D21129"/>
    <w:rsid w:val="77D472A1"/>
    <w:rsid w:val="77EC6F96"/>
    <w:rsid w:val="77F60C91"/>
    <w:rsid w:val="78060F3D"/>
    <w:rsid w:val="78356715"/>
    <w:rsid w:val="7852288B"/>
    <w:rsid w:val="7883011B"/>
    <w:rsid w:val="78AF606F"/>
    <w:rsid w:val="78D37129"/>
    <w:rsid w:val="79140A42"/>
    <w:rsid w:val="7922312F"/>
    <w:rsid w:val="79277D55"/>
    <w:rsid w:val="792C68D0"/>
    <w:rsid w:val="794F15B9"/>
    <w:rsid w:val="79952474"/>
    <w:rsid w:val="799B6894"/>
    <w:rsid w:val="79B5302A"/>
    <w:rsid w:val="79C370D7"/>
    <w:rsid w:val="79D35D8D"/>
    <w:rsid w:val="79E668F6"/>
    <w:rsid w:val="79ED5673"/>
    <w:rsid w:val="79EE46E0"/>
    <w:rsid w:val="79FB10E0"/>
    <w:rsid w:val="7A072443"/>
    <w:rsid w:val="7A110938"/>
    <w:rsid w:val="7A170370"/>
    <w:rsid w:val="7A235120"/>
    <w:rsid w:val="7A361F18"/>
    <w:rsid w:val="7A772BBC"/>
    <w:rsid w:val="7A7E37E0"/>
    <w:rsid w:val="7A841359"/>
    <w:rsid w:val="7A8D60AA"/>
    <w:rsid w:val="7AA87D65"/>
    <w:rsid w:val="7AD37E40"/>
    <w:rsid w:val="7ADF476F"/>
    <w:rsid w:val="7B0855DA"/>
    <w:rsid w:val="7B2E1248"/>
    <w:rsid w:val="7B366F41"/>
    <w:rsid w:val="7B39413F"/>
    <w:rsid w:val="7B53032D"/>
    <w:rsid w:val="7B574BAA"/>
    <w:rsid w:val="7B753D96"/>
    <w:rsid w:val="7B7B048A"/>
    <w:rsid w:val="7B897830"/>
    <w:rsid w:val="7B9A7651"/>
    <w:rsid w:val="7BA56F83"/>
    <w:rsid w:val="7BA62ECA"/>
    <w:rsid w:val="7BA9679C"/>
    <w:rsid w:val="7BCC6F38"/>
    <w:rsid w:val="7BD36518"/>
    <w:rsid w:val="7BDE117C"/>
    <w:rsid w:val="7BFF10BB"/>
    <w:rsid w:val="7C391E4E"/>
    <w:rsid w:val="7C400614"/>
    <w:rsid w:val="7C403C06"/>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DFF0C33"/>
    <w:rsid w:val="7E1468C5"/>
    <w:rsid w:val="7E340D3B"/>
    <w:rsid w:val="7E4A6B2C"/>
    <w:rsid w:val="7E4F46C1"/>
    <w:rsid w:val="7E5854CD"/>
    <w:rsid w:val="7E7B2D9B"/>
    <w:rsid w:val="7ED700CE"/>
    <w:rsid w:val="7F4C5FDB"/>
    <w:rsid w:val="7F4D0EB9"/>
    <w:rsid w:val="7F610C27"/>
    <w:rsid w:val="7F99624F"/>
    <w:rsid w:val="7FBD3767"/>
    <w:rsid w:val="7FC56178"/>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link w:val="55"/>
    <w:autoRedefine/>
    <w:qFormat/>
    <w:uiPriority w:val="99"/>
    <w:pPr>
      <w:keepNext/>
      <w:keepLines/>
      <w:spacing w:before="340" w:after="330" w:line="578" w:lineRule="auto"/>
      <w:outlineLvl w:val="0"/>
    </w:pPr>
    <w:rPr>
      <w:b/>
      <w:bCs/>
      <w:kern w:val="44"/>
      <w:sz w:val="44"/>
      <w:szCs w:val="44"/>
    </w:rPr>
  </w:style>
  <w:style w:type="paragraph" w:styleId="11">
    <w:name w:val="heading 2"/>
    <w:basedOn w:val="1"/>
    <w:next w:val="1"/>
    <w:link w:val="56"/>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12">
    <w:name w:val="heading 3"/>
    <w:basedOn w:val="1"/>
    <w:next w:val="1"/>
    <w:link w:val="57"/>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13">
    <w:name w:val="heading 4"/>
    <w:basedOn w:val="1"/>
    <w:next w:val="14"/>
    <w:link w:val="58"/>
    <w:autoRedefine/>
    <w:qFormat/>
    <w:uiPriority w:val="0"/>
    <w:pPr>
      <w:spacing w:before="280" w:after="290" w:line="377" w:lineRule="auto"/>
      <w:outlineLvl w:val="3"/>
    </w:pPr>
    <w:rPr>
      <w:rFonts w:ascii="Arial" w:hAnsi="Arial" w:eastAsia="黑体"/>
      <w:b/>
      <w:bCs/>
      <w:kern w:val="0"/>
      <w:sz w:val="28"/>
      <w:szCs w:val="28"/>
    </w:rPr>
  </w:style>
  <w:style w:type="paragraph" w:styleId="15">
    <w:name w:val="heading 5"/>
    <w:basedOn w:val="1"/>
    <w:next w:val="1"/>
    <w:link w:val="60"/>
    <w:autoRedefine/>
    <w:qFormat/>
    <w:uiPriority w:val="0"/>
    <w:pPr>
      <w:keepNext/>
      <w:keepLines/>
      <w:spacing w:before="280" w:after="290" w:line="376" w:lineRule="auto"/>
      <w:outlineLvl w:val="4"/>
    </w:pPr>
    <w:rPr>
      <w:rFonts w:ascii="Calibri" w:hAnsi="Calibri"/>
      <w:b/>
      <w:bCs/>
      <w:kern w:val="0"/>
      <w:sz w:val="28"/>
      <w:szCs w:val="28"/>
    </w:rPr>
  </w:style>
  <w:style w:type="paragraph" w:styleId="16">
    <w:name w:val="heading 6"/>
    <w:basedOn w:val="1"/>
    <w:next w:val="1"/>
    <w:link w:val="61"/>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17">
    <w:name w:val="heading 7"/>
    <w:basedOn w:val="1"/>
    <w:next w:val="1"/>
    <w:link w:val="62"/>
    <w:autoRedefine/>
    <w:qFormat/>
    <w:uiPriority w:val="0"/>
    <w:pPr>
      <w:keepNext/>
      <w:keepLines/>
      <w:spacing w:before="240" w:after="64" w:line="320" w:lineRule="auto"/>
      <w:ind w:left="1296" w:hanging="1296"/>
      <w:outlineLvl w:val="6"/>
    </w:pPr>
    <w:rPr>
      <w:b/>
      <w:bCs/>
      <w:kern w:val="0"/>
      <w:sz w:val="24"/>
      <w:szCs w:val="24"/>
    </w:rPr>
  </w:style>
  <w:style w:type="paragraph" w:styleId="18">
    <w:name w:val="heading 8"/>
    <w:basedOn w:val="1"/>
    <w:next w:val="1"/>
    <w:link w:val="63"/>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9">
    <w:name w:val="heading 9"/>
    <w:basedOn w:val="1"/>
    <w:next w:val="1"/>
    <w:link w:val="64"/>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before="156" w:after="156"/>
      <w:ind w:firstLine="480" w:firstLineChars="200"/>
    </w:pPr>
  </w:style>
  <w:style w:type="paragraph" w:customStyle="1" w:styleId="3">
    <w:name w:val="Char Char Char Char Char Char Char Char Char"/>
    <w:basedOn w:val="1"/>
    <w:next w:val="4"/>
    <w:autoRedefine/>
    <w:qFormat/>
    <w:uiPriority w:val="99"/>
    <w:pPr>
      <w:ind w:left="360" w:firstLine="5784"/>
    </w:pPr>
  </w:style>
  <w:style w:type="paragraph" w:customStyle="1" w:styleId="4">
    <w:name w:val="正文文本 21"/>
    <w:basedOn w:val="1"/>
    <w:next w:val="5"/>
    <w:autoRedefine/>
    <w:qFormat/>
    <w:uiPriority w:val="99"/>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99"/>
    <w:pPr>
      <w:ind w:firstLine="200" w:firstLineChars="200"/>
    </w:pPr>
    <w:rPr>
      <w:rFonts w:cs="Arial"/>
    </w:rPr>
  </w:style>
  <w:style w:type="paragraph" w:customStyle="1" w:styleId="6">
    <w:name w:val="样式 首行缩进:  2 字符"/>
    <w:basedOn w:val="1"/>
    <w:next w:val="7"/>
    <w:autoRedefine/>
    <w:qFormat/>
    <w:uiPriority w:val="99"/>
    <w:pPr>
      <w:spacing w:line="360" w:lineRule="auto"/>
      <w:ind w:left="480" w:firstLine="5856"/>
    </w:pPr>
  </w:style>
  <w:style w:type="paragraph" w:customStyle="1" w:styleId="7">
    <w:name w:val="样式 段后: 0.25 行"/>
    <w:basedOn w:val="1"/>
    <w:next w:val="8"/>
    <w:autoRedefine/>
    <w:qFormat/>
    <w:uiPriority w:val="99"/>
    <w:pPr>
      <w:widowControl/>
      <w:spacing w:line="300" w:lineRule="auto"/>
      <w:ind w:left="420" w:firstLine="5796"/>
    </w:pPr>
  </w:style>
  <w:style w:type="paragraph" w:customStyle="1" w:styleId="8">
    <w:name w:val="正文 New New New New New New New New New New New New New New"/>
    <w:next w:val="9"/>
    <w:autoRedefine/>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semiHidden/>
    <w:qFormat/>
    <w:uiPriority w:val="0"/>
    <w:pPr>
      <w:ind w:left="3360" w:leftChars="1600"/>
    </w:pPr>
  </w:style>
  <w:style w:type="paragraph" w:styleId="14">
    <w:name w:val="Normal Indent"/>
    <w:basedOn w:val="1"/>
    <w:link w:val="59"/>
    <w:autoRedefine/>
    <w:unhideWhenUsed/>
    <w:qFormat/>
    <w:uiPriority w:val="0"/>
    <w:pPr>
      <w:ind w:firstLine="420" w:firstLineChars="200"/>
    </w:pPr>
  </w:style>
  <w:style w:type="paragraph" w:styleId="20">
    <w:name w:val="Document Map"/>
    <w:basedOn w:val="1"/>
    <w:link w:val="65"/>
    <w:autoRedefine/>
    <w:qFormat/>
    <w:uiPriority w:val="0"/>
    <w:rPr>
      <w:rFonts w:ascii="宋体"/>
      <w:sz w:val="18"/>
      <w:szCs w:val="18"/>
    </w:rPr>
  </w:style>
  <w:style w:type="paragraph" w:styleId="21">
    <w:name w:val="annotation text"/>
    <w:basedOn w:val="1"/>
    <w:link w:val="66"/>
    <w:autoRedefine/>
    <w:unhideWhenUsed/>
    <w:qFormat/>
    <w:uiPriority w:val="0"/>
    <w:pPr>
      <w:jc w:val="left"/>
    </w:pPr>
    <w:rPr>
      <w:kern w:val="0"/>
      <w:sz w:val="20"/>
      <w:szCs w:val="24"/>
    </w:rPr>
  </w:style>
  <w:style w:type="paragraph" w:styleId="22">
    <w:name w:val="Body Text 3"/>
    <w:basedOn w:val="1"/>
    <w:link w:val="67"/>
    <w:autoRedefine/>
    <w:qFormat/>
    <w:uiPriority w:val="0"/>
    <w:rPr>
      <w:rFonts w:ascii="宋体"/>
      <w:sz w:val="24"/>
      <w:szCs w:val="20"/>
    </w:rPr>
  </w:style>
  <w:style w:type="paragraph" w:styleId="23">
    <w:name w:val="Body Text"/>
    <w:basedOn w:val="1"/>
    <w:next w:val="1"/>
    <w:link w:val="68"/>
    <w:autoRedefine/>
    <w:qFormat/>
    <w:uiPriority w:val="99"/>
    <w:rPr>
      <w:rFonts w:ascii="楷体_GB2312" w:hAnsi="Arial" w:eastAsia="楷体_GB2312"/>
      <w:kern w:val="0"/>
      <w:sz w:val="28"/>
      <w:szCs w:val="28"/>
    </w:rPr>
  </w:style>
  <w:style w:type="paragraph" w:styleId="24">
    <w:name w:val="Body Text Indent"/>
    <w:basedOn w:val="1"/>
    <w:next w:val="1"/>
    <w:link w:val="69"/>
    <w:autoRedefine/>
    <w:qFormat/>
    <w:uiPriority w:val="0"/>
    <w:pPr>
      <w:spacing w:after="120"/>
      <w:ind w:left="420" w:leftChars="200"/>
    </w:pPr>
    <w:rPr>
      <w:kern w:val="0"/>
      <w:sz w:val="20"/>
      <w:szCs w:val="24"/>
    </w:rPr>
  </w:style>
  <w:style w:type="paragraph" w:styleId="25">
    <w:name w:val="List Bullet 2"/>
    <w:basedOn w:val="1"/>
    <w:autoRedefine/>
    <w:unhideWhenUsed/>
    <w:qFormat/>
    <w:uiPriority w:val="99"/>
    <w:pPr>
      <w:numPr>
        <w:ilvl w:val="0"/>
        <w:numId w:val="2"/>
      </w:numPr>
    </w:pPr>
  </w:style>
  <w:style w:type="paragraph" w:styleId="26">
    <w:name w:val="index 4"/>
    <w:basedOn w:val="1"/>
    <w:next w:val="1"/>
    <w:autoRedefine/>
    <w:semiHidden/>
    <w:qFormat/>
    <w:uiPriority w:val="0"/>
    <w:pPr>
      <w:ind w:left="1260"/>
    </w:pPr>
  </w:style>
  <w:style w:type="paragraph" w:styleId="27">
    <w:name w:val="toc 3"/>
    <w:basedOn w:val="1"/>
    <w:next w:val="1"/>
    <w:autoRedefine/>
    <w:unhideWhenUsed/>
    <w:qFormat/>
    <w:uiPriority w:val="39"/>
    <w:pPr>
      <w:ind w:left="840" w:leftChars="400"/>
    </w:pPr>
    <w:rPr>
      <w:rFonts w:ascii="Calibri" w:hAnsi="Calibri"/>
    </w:rPr>
  </w:style>
  <w:style w:type="paragraph" w:styleId="28">
    <w:name w:val="Plain Text"/>
    <w:basedOn w:val="1"/>
    <w:link w:val="70"/>
    <w:autoRedefine/>
    <w:qFormat/>
    <w:uiPriority w:val="0"/>
    <w:rPr>
      <w:rFonts w:ascii="宋体" w:hAnsi="Courier New"/>
      <w:kern w:val="0"/>
      <w:sz w:val="20"/>
      <w:szCs w:val="21"/>
    </w:rPr>
  </w:style>
  <w:style w:type="paragraph" w:styleId="29">
    <w:name w:val="Body Text Indent 2"/>
    <w:basedOn w:val="1"/>
    <w:link w:val="71"/>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30">
    <w:name w:val="Balloon Text"/>
    <w:basedOn w:val="1"/>
    <w:link w:val="72"/>
    <w:autoRedefine/>
    <w:unhideWhenUsed/>
    <w:qFormat/>
    <w:uiPriority w:val="0"/>
    <w:rPr>
      <w:kern w:val="0"/>
      <w:sz w:val="18"/>
      <w:szCs w:val="18"/>
    </w:rPr>
  </w:style>
  <w:style w:type="paragraph" w:styleId="31">
    <w:name w:val="footer"/>
    <w:basedOn w:val="1"/>
    <w:link w:val="73"/>
    <w:autoRedefine/>
    <w:unhideWhenUsed/>
    <w:qFormat/>
    <w:uiPriority w:val="99"/>
    <w:pPr>
      <w:tabs>
        <w:tab w:val="center" w:pos="4153"/>
        <w:tab w:val="right" w:pos="8306"/>
      </w:tabs>
      <w:snapToGrid w:val="0"/>
      <w:jc w:val="left"/>
    </w:pPr>
    <w:rPr>
      <w:kern w:val="0"/>
      <w:sz w:val="18"/>
      <w:szCs w:val="18"/>
    </w:rPr>
  </w:style>
  <w:style w:type="paragraph" w:styleId="32">
    <w:name w:val="envelope return"/>
    <w:basedOn w:val="1"/>
    <w:autoRedefine/>
    <w:qFormat/>
    <w:uiPriority w:val="99"/>
    <w:pPr>
      <w:widowControl/>
      <w:snapToGrid w:val="0"/>
      <w:jc w:val="left"/>
    </w:pPr>
    <w:rPr>
      <w:rFonts w:ascii="Arial" w:hAnsi="Arial"/>
      <w:kern w:val="0"/>
      <w:sz w:val="20"/>
      <w:szCs w:val="20"/>
    </w:rPr>
  </w:style>
  <w:style w:type="paragraph" w:styleId="33">
    <w:name w:val="header"/>
    <w:basedOn w:val="1"/>
    <w:link w:val="74"/>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autoRedefine/>
    <w:unhideWhenUsed/>
    <w:qFormat/>
    <w:uiPriority w:val="39"/>
    <w:rPr>
      <w:rFonts w:ascii="Calibri" w:hAnsi="Calibri"/>
    </w:rPr>
  </w:style>
  <w:style w:type="paragraph" w:styleId="35">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36">
    <w:name w:val="toc 2"/>
    <w:basedOn w:val="1"/>
    <w:next w:val="1"/>
    <w:autoRedefine/>
    <w:unhideWhenUsed/>
    <w:qFormat/>
    <w:uiPriority w:val="39"/>
    <w:pPr>
      <w:ind w:left="420" w:leftChars="200"/>
    </w:pPr>
    <w:rPr>
      <w:rFonts w:ascii="Calibri" w:hAnsi="Calibri"/>
    </w:rPr>
  </w:style>
  <w:style w:type="paragraph" w:styleId="37">
    <w:name w:val="Normal (Web)"/>
    <w:basedOn w:val="1"/>
    <w:autoRedefine/>
    <w:unhideWhenUsed/>
    <w:qFormat/>
    <w:uiPriority w:val="99"/>
    <w:rPr>
      <w:sz w:val="24"/>
    </w:rPr>
  </w:style>
  <w:style w:type="paragraph" w:styleId="38">
    <w:name w:val="Title"/>
    <w:basedOn w:val="1"/>
    <w:link w:val="167"/>
    <w:autoRedefine/>
    <w:qFormat/>
    <w:uiPriority w:val="0"/>
    <w:pPr>
      <w:spacing w:before="120" w:after="120" w:line="360" w:lineRule="auto"/>
      <w:jc w:val="center"/>
      <w:outlineLvl w:val="0"/>
    </w:pPr>
    <w:rPr>
      <w:rFonts w:ascii="黑体" w:hAnsi="Arial" w:eastAsia="黑体" w:cs="Arial"/>
      <w:b/>
      <w:bCs/>
      <w:kern w:val="0"/>
      <w:sz w:val="32"/>
      <w:szCs w:val="32"/>
    </w:rPr>
  </w:style>
  <w:style w:type="paragraph" w:styleId="39">
    <w:name w:val="annotation subject"/>
    <w:basedOn w:val="21"/>
    <w:next w:val="21"/>
    <w:link w:val="75"/>
    <w:autoRedefine/>
    <w:unhideWhenUsed/>
    <w:qFormat/>
    <w:uiPriority w:val="0"/>
    <w:rPr>
      <w:b/>
      <w:bCs/>
      <w:szCs w:val="20"/>
    </w:rPr>
  </w:style>
  <w:style w:type="paragraph" w:styleId="40">
    <w:name w:val="Body Text First Indent"/>
    <w:basedOn w:val="23"/>
    <w:link w:val="168"/>
    <w:autoRedefine/>
    <w:qFormat/>
    <w:uiPriority w:val="99"/>
    <w:pPr>
      <w:spacing w:after="120"/>
      <w:ind w:left="300" w:firstLine="420"/>
    </w:pPr>
    <w:rPr>
      <w:rFonts w:ascii="宋体" w:hAnsi="Verdana"/>
      <w:lang w:val="en-GB"/>
    </w:rPr>
  </w:style>
  <w:style w:type="paragraph" w:styleId="41">
    <w:name w:val="Body Text First Indent 2"/>
    <w:basedOn w:val="24"/>
    <w:next w:val="1"/>
    <w:autoRedefine/>
    <w:qFormat/>
    <w:uiPriority w:val="99"/>
    <w:pPr>
      <w:ind w:firstLine="420"/>
    </w:pPr>
  </w:style>
  <w:style w:type="table" w:styleId="43">
    <w:name w:val="Table Grid"/>
    <w:basedOn w:val="42"/>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rFonts w:ascii="Tahoma" w:hAnsi="Tahoma" w:eastAsia="宋体"/>
      <w:b/>
      <w:bCs/>
      <w:spacing w:val="10"/>
      <w:sz w:val="24"/>
      <w:lang w:val="en-US" w:eastAsia="zh-CN" w:bidi="ar-SA"/>
    </w:rPr>
  </w:style>
  <w:style w:type="character" w:styleId="46">
    <w:name w:val="page number"/>
    <w:autoRedefine/>
    <w:qFormat/>
    <w:uiPriority w:val="0"/>
  </w:style>
  <w:style w:type="character" w:styleId="47">
    <w:name w:val="FollowedHyperlink"/>
    <w:autoRedefine/>
    <w:unhideWhenUsed/>
    <w:qFormat/>
    <w:uiPriority w:val="0"/>
    <w:rPr>
      <w:color w:val="333333"/>
      <w:u w:val="none"/>
    </w:rPr>
  </w:style>
  <w:style w:type="character" w:styleId="48">
    <w:name w:val="Emphasis"/>
    <w:autoRedefine/>
    <w:qFormat/>
    <w:uiPriority w:val="0"/>
    <w:rPr>
      <w:rFonts w:ascii="Times New Roman" w:hAnsi="Times New Roman"/>
      <w:i/>
      <w:iCs/>
      <w:sz w:val="21"/>
      <w:szCs w:val="20"/>
    </w:rPr>
  </w:style>
  <w:style w:type="character" w:styleId="49">
    <w:name w:val="HTML Definition"/>
    <w:autoRedefine/>
    <w:unhideWhenUsed/>
    <w:qFormat/>
    <w:uiPriority w:val="99"/>
    <w:rPr>
      <w:i/>
    </w:rPr>
  </w:style>
  <w:style w:type="character" w:styleId="50">
    <w:name w:val="Hyperlink"/>
    <w:autoRedefine/>
    <w:unhideWhenUsed/>
    <w:qFormat/>
    <w:uiPriority w:val="99"/>
    <w:rPr>
      <w:color w:val="333333"/>
      <w:u w:val="none"/>
    </w:rPr>
  </w:style>
  <w:style w:type="character" w:styleId="51">
    <w:name w:val="HTML Code"/>
    <w:autoRedefine/>
    <w:unhideWhenUsed/>
    <w:qFormat/>
    <w:uiPriority w:val="99"/>
    <w:rPr>
      <w:rFonts w:ascii="Consolas" w:hAnsi="Consolas" w:eastAsia="Consolas" w:cs="Consolas"/>
      <w:color w:val="C7254E"/>
      <w:sz w:val="21"/>
      <w:szCs w:val="21"/>
      <w:shd w:val="clear" w:color="auto" w:fill="F9F2F4"/>
    </w:rPr>
  </w:style>
  <w:style w:type="character" w:styleId="52">
    <w:name w:val="annotation reference"/>
    <w:autoRedefine/>
    <w:unhideWhenUsed/>
    <w:qFormat/>
    <w:uiPriority w:val="0"/>
    <w:rPr>
      <w:sz w:val="21"/>
      <w:szCs w:val="21"/>
    </w:rPr>
  </w:style>
  <w:style w:type="character" w:styleId="53">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54">
    <w:name w:val="HTML Sample"/>
    <w:autoRedefine/>
    <w:unhideWhenUsed/>
    <w:qFormat/>
    <w:uiPriority w:val="99"/>
    <w:rPr>
      <w:rFonts w:hint="default" w:ascii="Consolas" w:hAnsi="Consolas" w:eastAsia="Consolas" w:cs="Consolas"/>
      <w:sz w:val="21"/>
      <w:szCs w:val="21"/>
    </w:rPr>
  </w:style>
  <w:style w:type="character" w:customStyle="1" w:styleId="55">
    <w:name w:val="标题 1 Char"/>
    <w:link w:val="10"/>
    <w:autoRedefine/>
    <w:qFormat/>
    <w:uiPriority w:val="99"/>
    <w:rPr>
      <w:b/>
      <w:bCs/>
      <w:kern w:val="44"/>
      <w:sz w:val="44"/>
      <w:szCs w:val="44"/>
    </w:rPr>
  </w:style>
  <w:style w:type="character" w:customStyle="1" w:styleId="56">
    <w:name w:val="标题 2 Char"/>
    <w:link w:val="11"/>
    <w:autoRedefine/>
    <w:qFormat/>
    <w:uiPriority w:val="0"/>
    <w:rPr>
      <w:rFonts w:ascii="Arial" w:hAnsi="Arial" w:eastAsia="宋体" w:cs="Times New Roman"/>
      <w:b/>
      <w:bCs/>
      <w:kern w:val="0"/>
      <w:sz w:val="28"/>
      <w:szCs w:val="36"/>
    </w:rPr>
  </w:style>
  <w:style w:type="character" w:customStyle="1" w:styleId="57">
    <w:name w:val="标题 3 Char"/>
    <w:link w:val="12"/>
    <w:autoRedefine/>
    <w:qFormat/>
    <w:uiPriority w:val="0"/>
    <w:rPr>
      <w:rFonts w:ascii="Arial" w:hAnsi="Arial" w:eastAsia="黑体" w:cs="Times New Roman"/>
      <w:b/>
      <w:bCs/>
      <w:kern w:val="0"/>
      <w:sz w:val="30"/>
      <w:szCs w:val="32"/>
    </w:rPr>
  </w:style>
  <w:style w:type="character" w:customStyle="1" w:styleId="58">
    <w:name w:val="标题 4 Char"/>
    <w:link w:val="13"/>
    <w:autoRedefine/>
    <w:qFormat/>
    <w:uiPriority w:val="0"/>
    <w:rPr>
      <w:rFonts w:ascii="Arial" w:hAnsi="Arial" w:eastAsia="黑体" w:cs="Arial"/>
      <w:b/>
      <w:bCs/>
      <w:sz w:val="28"/>
      <w:szCs w:val="28"/>
    </w:rPr>
  </w:style>
  <w:style w:type="character" w:customStyle="1" w:styleId="59">
    <w:name w:val="正文缩进 Char"/>
    <w:link w:val="14"/>
    <w:autoRedefine/>
    <w:qFormat/>
    <w:uiPriority w:val="0"/>
  </w:style>
  <w:style w:type="character" w:customStyle="1" w:styleId="60">
    <w:name w:val="标题 5 Char"/>
    <w:link w:val="15"/>
    <w:autoRedefine/>
    <w:qFormat/>
    <w:uiPriority w:val="0"/>
    <w:rPr>
      <w:rFonts w:ascii="Calibri" w:hAnsi="Calibri" w:eastAsia="宋体" w:cs="Times New Roman"/>
      <w:b/>
      <w:bCs/>
      <w:kern w:val="0"/>
      <w:sz w:val="28"/>
      <w:szCs w:val="28"/>
    </w:rPr>
  </w:style>
  <w:style w:type="character" w:customStyle="1" w:styleId="61">
    <w:name w:val="标题 6 Char"/>
    <w:link w:val="16"/>
    <w:autoRedefine/>
    <w:qFormat/>
    <w:uiPriority w:val="0"/>
    <w:rPr>
      <w:rFonts w:ascii="Cambria" w:hAnsi="Cambria" w:eastAsia="宋体" w:cs="Times New Roman"/>
      <w:b/>
      <w:bCs/>
      <w:kern w:val="0"/>
      <w:sz w:val="24"/>
      <w:szCs w:val="24"/>
    </w:rPr>
  </w:style>
  <w:style w:type="character" w:customStyle="1" w:styleId="62">
    <w:name w:val="标题 7 Char"/>
    <w:link w:val="17"/>
    <w:autoRedefine/>
    <w:qFormat/>
    <w:uiPriority w:val="0"/>
    <w:rPr>
      <w:rFonts w:ascii="Times New Roman" w:hAnsi="Times New Roman" w:eastAsia="宋体" w:cs="Times New Roman"/>
      <w:b/>
      <w:bCs/>
      <w:kern w:val="0"/>
      <w:sz w:val="24"/>
      <w:szCs w:val="24"/>
    </w:rPr>
  </w:style>
  <w:style w:type="character" w:customStyle="1" w:styleId="63">
    <w:name w:val="标题 8 Char"/>
    <w:link w:val="18"/>
    <w:autoRedefine/>
    <w:qFormat/>
    <w:uiPriority w:val="0"/>
    <w:rPr>
      <w:rFonts w:ascii="Cambria" w:hAnsi="Cambria" w:eastAsia="宋体" w:cs="Times New Roman"/>
      <w:kern w:val="0"/>
      <w:sz w:val="24"/>
      <w:szCs w:val="24"/>
    </w:rPr>
  </w:style>
  <w:style w:type="character" w:customStyle="1" w:styleId="64">
    <w:name w:val="标题 9 Char"/>
    <w:link w:val="19"/>
    <w:autoRedefine/>
    <w:qFormat/>
    <w:uiPriority w:val="0"/>
    <w:rPr>
      <w:rFonts w:ascii="Cambria" w:hAnsi="Cambria" w:eastAsia="宋体" w:cs="Times New Roman"/>
      <w:kern w:val="0"/>
      <w:sz w:val="20"/>
      <w:szCs w:val="21"/>
    </w:rPr>
  </w:style>
  <w:style w:type="character" w:customStyle="1" w:styleId="65">
    <w:name w:val="文档结构图 Char"/>
    <w:link w:val="20"/>
    <w:autoRedefine/>
    <w:qFormat/>
    <w:uiPriority w:val="0"/>
    <w:rPr>
      <w:rFonts w:ascii="宋体" w:hAnsi="Times New Roman"/>
      <w:kern w:val="2"/>
      <w:sz w:val="18"/>
      <w:szCs w:val="18"/>
    </w:rPr>
  </w:style>
  <w:style w:type="character" w:customStyle="1" w:styleId="66">
    <w:name w:val="批注文字 Char1"/>
    <w:link w:val="21"/>
    <w:autoRedefine/>
    <w:qFormat/>
    <w:uiPriority w:val="99"/>
    <w:rPr>
      <w:rFonts w:ascii="Times New Roman" w:hAnsi="Times New Roman" w:eastAsia="宋体" w:cs="Times New Roman"/>
      <w:szCs w:val="24"/>
    </w:rPr>
  </w:style>
  <w:style w:type="character" w:customStyle="1" w:styleId="67">
    <w:name w:val="正文文本 3 Char"/>
    <w:link w:val="22"/>
    <w:autoRedefine/>
    <w:qFormat/>
    <w:uiPriority w:val="0"/>
    <w:rPr>
      <w:rFonts w:ascii="宋体" w:hAnsi="Times New Roman"/>
      <w:kern w:val="2"/>
      <w:sz w:val="24"/>
    </w:rPr>
  </w:style>
  <w:style w:type="character" w:customStyle="1" w:styleId="68">
    <w:name w:val="正文文本 Char"/>
    <w:link w:val="23"/>
    <w:autoRedefine/>
    <w:qFormat/>
    <w:uiPriority w:val="99"/>
    <w:rPr>
      <w:rFonts w:ascii="楷体_GB2312" w:hAnsi="Arial" w:eastAsia="楷体_GB2312" w:cs="Times New Roman"/>
      <w:sz w:val="28"/>
      <w:szCs w:val="28"/>
    </w:rPr>
  </w:style>
  <w:style w:type="character" w:customStyle="1" w:styleId="69">
    <w:name w:val="正文文本缩进 Char"/>
    <w:link w:val="24"/>
    <w:autoRedefine/>
    <w:qFormat/>
    <w:uiPriority w:val="99"/>
    <w:rPr>
      <w:rFonts w:ascii="Times New Roman" w:hAnsi="Times New Roman"/>
      <w:szCs w:val="24"/>
    </w:rPr>
  </w:style>
  <w:style w:type="character" w:customStyle="1" w:styleId="70">
    <w:name w:val="纯文本 Char"/>
    <w:link w:val="28"/>
    <w:autoRedefine/>
    <w:qFormat/>
    <w:uiPriority w:val="0"/>
    <w:rPr>
      <w:rFonts w:ascii="宋体" w:hAnsi="Courier New" w:eastAsia="宋体" w:cs="Times New Roman"/>
      <w:szCs w:val="21"/>
    </w:rPr>
  </w:style>
  <w:style w:type="character" w:customStyle="1" w:styleId="71">
    <w:name w:val="正文文本缩进 2 Char"/>
    <w:link w:val="29"/>
    <w:autoRedefine/>
    <w:qFormat/>
    <w:uiPriority w:val="0"/>
    <w:rPr>
      <w:rFonts w:ascii="楷体_GB2312" w:hAnsi="Times New Roman" w:eastAsia="楷体_GB2312"/>
      <w:b/>
      <w:bCs/>
      <w:sz w:val="28"/>
      <w:szCs w:val="24"/>
    </w:rPr>
  </w:style>
  <w:style w:type="character" w:customStyle="1" w:styleId="72">
    <w:name w:val="批注框文本 Char"/>
    <w:link w:val="30"/>
    <w:autoRedefine/>
    <w:qFormat/>
    <w:uiPriority w:val="0"/>
    <w:rPr>
      <w:sz w:val="18"/>
      <w:szCs w:val="18"/>
    </w:rPr>
  </w:style>
  <w:style w:type="character" w:customStyle="1" w:styleId="73">
    <w:name w:val="页脚 Char"/>
    <w:link w:val="31"/>
    <w:autoRedefine/>
    <w:qFormat/>
    <w:uiPriority w:val="99"/>
    <w:rPr>
      <w:rFonts w:ascii="Times New Roman" w:hAnsi="Times New Roman" w:eastAsia="宋体" w:cs="Times New Roman"/>
      <w:sz w:val="18"/>
      <w:szCs w:val="18"/>
    </w:rPr>
  </w:style>
  <w:style w:type="character" w:customStyle="1" w:styleId="74">
    <w:name w:val="页眉 Char"/>
    <w:link w:val="33"/>
    <w:autoRedefine/>
    <w:qFormat/>
    <w:uiPriority w:val="0"/>
    <w:rPr>
      <w:rFonts w:ascii="Times New Roman" w:hAnsi="Times New Roman" w:eastAsia="宋体" w:cs="Times New Roman"/>
      <w:sz w:val="18"/>
      <w:szCs w:val="18"/>
    </w:rPr>
  </w:style>
  <w:style w:type="character" w:customStyle="1" w:styleId="75">
    <w:name w:val="批注主题 Char"/>
    <w:link w:val="39"/>
    <w:autoRedefine/>
    <w:qFormat/>
    <w:uiPriority w:val="0"/>
    <w:rPr>
      <w:b/>
      <w:bCs/>
    </w:rPr>
  </w:style>
  <w:style w:type="character" w:customStyle="1" w:styleId="76">
    <w:name w:val="font231"/>
    <w:autoRedefine/>
    <w:qFormat/>
    <w:uiPriority w:val="0"/>
    <w:rPr>
      <w:rFonts w:hint="eastAsia" w:ascii="宋体" w:hAnsi="宋体" w:eastAsia="宋体" w:cs="宋体"/>
      <w:color w:val="000000"/>
      <w:sz w:val="20"/>
      <w:szCs w:val="20"/>
      <w:u w:val="none"/>
    </w:rPr>
  </w:style>
  <w:style w:type="character" w:customStyle="1" w:styleId="77">
    <w:name w:val="font01"/>
    <w:autoRedefine/>
    <w:qFormat/>
    <w:uiPriority w:val="0"/>
    <w:rPr>
      <w:rFonts w:hint="eastAsia" w:ascii="宋体" w:hAnsi="宋体" w:eastAsia="宋体"/>
      <w:color w:val="000000"/>
      <w:sz w:val="24"/>
      <w:szCs w:val="24"/>
      <w:u w:val="none"/>
    </w:rPr>
  </w:style>
  <w:style w:type="character" w:customStyle="1" w:styleId="78">
    <w:name w:val="表格样式居左 Char"/>
    <w:link w:val="79"/>
    <w:autoRedefine/>
    <w:qFormat/>
    <w:uiPriority w:val="0"/>
    <w:rPr>
      <w:rFonts w:eastAsia="仿宋_GB2312"/>
      <w:bCs/>
      <w:color w:val="000000"/>
      <w:kern w:val="2"/>
      <w:sz w:val="21"/>
      <w:szCs w:val="44"/>
      <w:lang w:val="en-US" w:eastAsia="zh-CN" w:bidi="ar-SA"/>
    </w:rPr>
  </w:style>
  <w:style w:type="paragraph" w:customStyle="1" w:styleId="79">
    <w:name w:val="表格样式居左"/>
    <w:link w:val="78"/>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0">
    <w:name w:val="font211"/>
    <w:autoRedefine/>
    <w:qFormat/>
    <w:uiPriority w:val="0"/>
    <w:rPr>
      <w:rFonts w:hint="eastAsia" w:ascii="宋体" w:hAnsi="宋体" w:eastAsia="宋体" w:cs="宋体"/>
      <w:color w:val="FF0000"/>
      <w:sz w:val="20"/>
      <w:szCs w:val="20"/>
      <w:u w:val="none"/>
      <w:vertAlign w:val="superscript"/>
    </w:rPr>
  </w:style>
  <w:style w:type="character" w:customStyle="1" w:styleId="81">
    <w:name w:val="font201"/>
    <w:autoRedefine/>
    <w:qFormat/>
    <w:uiPriority w:val="0"/>
    <w:rPr>
      <w:rFonts w:hint="default" w:ascii="Times New Roman" w:hAnsi="Times New Roman" w:cs="Times New Roman"/>
      <w:color w:val="000000"/>
      <w:sz w:val="20"/>
      <w:szCs w:val="20"/>
      <w:u w:val="none"/>
    </w:rPr>
  </w:style>
  <w:style w:type="character" w:customStyle="1" w:styleId="82">
    <w:name w:val="Char Char8"/>
    <w:autoRedefine/>
    <w:qFormat/>
    <w:uiPriority w:val="0"/>
    <w:rPr>
      <w:rFonts w:ascii="Calibri" w:hAnsi="Calibri" w:eastAsia="宋体" w:cs="Times New Roman"/>
      <w:b/>
      <w:bCs/>
      <w:sz w:val="28"/>
      <w:szCs w:val="28"/>
    </w:rPr>
  </w:style>
  <w:style w:type="character" w:customStyle="1" w:styleId="83">
    <w:name w:val="批注主题 Char1"/>
    <w:autoRedefine/>
    <w:semiHidden/>
    <w:qFormat/>
    <w:uiPriority w:val="99"/>
    <w:rPr>
      <w:rFonts w:ascii="Times New Roman" w:hAnsi="Times New Roman" w:eastAsia="宋体" w:cs="Times New Roman"/>
      <w:b/>
      <w:bCs/>
      <w:szCs w:val="24"/>
    </w:rPr>
  </w:style>
  <w:style w:type="character" w:customStyle="1" w:styleId="84">
    <w:name w:val="font71"/>
    <w:autoRedefine/>
    <w:qFormat/>
    <w:uiPriority w:val="0"/>
    <w:rPr>
      <w:rFonts w:hint="eastAsia" w:ascii="宋体" w:hAnsi="宋体" w:eastAsia="宋体" w:cs="宋体"/>
      <w:color w:val="000000"/>
      <w:sz w:val="20"/>
      <w:szCs w:val="20"/>
      <w:u w:val="none"/>
    </w:rPr>
  </w:style>
  <w:style w:type="character" w:customStyle="1" w:styleId="85">
    <w:name w:val="段落 Char1"/>
    <w:link w:val="86"/>
    <w:autoRedefine/>
    <w:qFormat/>
    <w:uiPriority w:val="0"/>
    <w:rPr>
      <w:rFonts w:eastAsia="仿宋_GB2312"/>
      <w:kern w:val="2"/>
      <w:sz w:val="32"/>
      <w:szCs w:val="32"/>
      <w:lang w:val="en-US" w:eastAsia="zh-CN" w:bidi="ar-SA"/>
    </w:rPr>
  </w:style>
  <w:style w:type="paragraph" w:customStyle="1" w:styleId="86">
    <w:name w:val="段落"/>
    <w:link w:val="85"/>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87">
    <w:name w:val="font61"/>
    <w:autoRedefine/>
    <w:qFormat/>
    <w:uiPriority w:val="0"/>
    <w:rPr>
      <w:rFonts w:hint="eastAsia" w:ascii="宋体" w:hAnsi="宋体" w:eastAsia="宋体" w:cs="宋体"/>
      <w:color w:val="000000"/>
      <w:sz w:val="20"/>
      <w:szCs w:val="20"/>
      <w:u w:val="none"/>
    </w:rPr>
  </w:style>
  <w:style w:type="character" w:customStyle="1" w:styleId="88">
    <w:name w:val="正文文本缩进 2 Char1"/>
    <w:autoRedefine/>
    <w:semiHidden/>
    <w:qFormat/>
    <w:uiPriority w:val="99"/>
  </w:style>
  <w:style w:type="character" w:customStyle="1" w:styleId="89">
    <w:name w:val="标题 5 字符"/>
    <w:autoRedefine/>
    <w:semiHidden/>
    <w:qFormat/>
    <w:uiPriority w:val="0"/>
    <w:rPr>
      <w:rFonts w:ascii="Calibri" w:hAnsi="Calibri"/>
      <w:b/>
      <w:bCs/>
      <w:kern w:val="2"/>
      <w:sz w:val="28"/>
      <w:szCs w:val="28"/>
    </w:rPr>
  </w:style>
  <w:style w:type="character" w:customStyle="1" w:styleId="90">
    <w:name w:val="font101"/>
    <w:autoRedefine/>
    <w:qFormat/>
    <w:uiPriority w:val="0"/>
    <w:rPr>
      <w:rFonts w:hint="eastAsia" w:ascii="宋体" w:hAnsi="宋体" w:eastAsia="宋体" w:cs="宋体"/>
      <w:b/>
      <w:color w:val="000000"/>
      <w:sz w:val="18"/>
      <w:szCs w:val="18"/>
      <w:u w:val="none"/>
    </w:rPr>
  </w:style>
  <w:style w:type="character" w:customStyle="1" w:styleId="91">
    <w:name w:val="font191"/>
    <w:autoRedefine/>
    <w:qFormat/>
    <w:uiPriority w:val="0"/>
    <w:rPr>
      <w:rFonts w:ascii="Wingdings 2" w:hAnsi="Wingdings 2" w:eastAsia="Wingdings 2" w:cs="Wingdings 2"/>
      <w:color w:val="000000"/>
      <w:sz w:val="20"/>
      <w:szCs w:val="20"/>
      <w:u w:val="none"/>
    </w:rPr>
  </w:style>
  <w:style w:type="character" w:customStyle="1" w:styleId="92">
    <w:name w:val="项目排列 Char"/>
    <w:link w:val="93"/>
    <w:autoRedefine/>
    <w:qFormat/>
    <w:uiPriority w:val="0"/>
    <w:rPr>
      <w:sz w:val="24"/>
      <w:szCs w:val="24"/>
    </w:rPr>
  </w:style>
  <w:style w:type="paragraph" w:customStyle="1" w:styleId="93">
    <w:name w:val="项目排列"/>
    <w:basedOn w:val="1"/>
    <w:link w:val="92"/>
    <w:autoRedefine/>
    <w:qFormat/>
    <w:uiPriority w:val="0"/>
    <w:pPr>
      <w:numPr>
        <w:ilvl w:val="0"/>
        <w:numId w:val="3"/>
      </w:numPr>
      <w:tabs>
        <w:tab w:val="left" w:pos="900"/>
      </w:tabs>
      <w:spacing w:beforeLines="50" w:afterLines="50" w:line="300" w:lineRule="auto"/>
    </w:pPr>
    <w:rPr>
      <w:kern w:val="0"/>
      <w:sz w:val="24"/>
      <w:szCs w:val="24"/>
    </w:rPr>
  </w:style>
  <w:style w:type="character" w:customStyle="1" w:styleId="94">
    <w:name w:val="apple-style-span"/>
    <w:autoRedefine/>
    <w:qFormat/>
    <w:uiPriority w:val="0"/>
  </w:style>
  <w:style w:type="character" w:customStyle="1" w:styleId="95">
    <w:name w:val="font51"/>
    <w:autoRedefine/>
    <w:qFormat/>
    <w:uiPriority w:val="0"/>
    <w:rPr>
      <w:rFonts w:hint="eastAsia" w:ascii="宋体" w:hAnsi="宋体" w:eastAsia="宋体" w:cs="宋体"/>
      <w:b/>
      <w:color w:val="000000"/>
      <w:sz w:val="20"/>
      <w:szCs w:val="20"/>
      <w:u w:val="none"/>
    </w:rPr>
  </w:style>
  <w:style w:type="character" w:customStyle="1" w:styleId="96">
    <w:name w:val="Char Char10"/>
    <w:autoRedefine/>
    <w:qFormat/>
    <w:uiPriority w:val="0"/>
    <w:rPr>
      <w:rFonts w:ascii="Arial" w:hAnsi="Arial" w:eastAsia="黑体" w:cs="Times New Roman"/>
      <w:b/>
      <w:bCs/>
      <w:sz w:val="30"/>
      <w:szCs w:val="32"/>
    </w:rPr>
  </w:style>
  <w:style w:type="character" w:customStyle="1" w:styleId="97">
    <w:name w:val="_Style 93"/>
    <w:autoRedefine/>
    <w:qFormat/>
    <w:uiPriority w:val="19"/>
    <w:rPr>
      <w:rFonts w:ascii="Times New Roman" w:hAnsi="Times New Roman"/>
      <w:i/>
      <w:iCs/>
      <w:color w:val="808080"/>
      <w:sz w:val="21"/>
      <w:szCs w:val="20"/>
    </w:rPr>
  </w:style>
  <w:style w:type="character" w:customStyle="1" w:styleId="98">
    <w:name w:val="表格样式居中 Char"/>
    <w:link w:val="99"/>
    <w:autoRedefine/>
    <w:qFormat/>
    <w:uiPriority w:val="0"/>
    <w:rPr>
      <w:rFonts w:ascii="宋体" w:hAnsi="宋体"/>
      <w:bCs/>
      <w:kern w:val="44"/>
      <w:sz w:val="21"/>
      <w:szCs w:val="21"/>
      <w:lang w:val="zh-CN" w:eastAsia="zh-CN" w:bidi="ar-SA"/>
    </w:rPr>
  </w:style>
  <w:style w:type="paragraph" w:customStyle="1" w:styleId="99">
    <w:name w:val="表格样式居中"/>
    <w:link w:val="98"/>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0">
    <w:name w:val="font241"/>
    <w:autoRedefine/>
    <w:qFormat/>
    <w:uiPriority w:val="0"/>
    <w:rPr>
      <w:rFonts w:hint="eastAsia" w:ascii="宋体" w:hAnsi="宋体" w:eastAsia="宋体" w:cs="宋体"/>
      <w:color w:val="000000"/>
      <w:sz w:val="20"/>
      <w:szCs w:val="20"/>
      <w:u w:val="none"/>
    </w:rPr>
  </w:style>
  <w:style w:type="character" w:customStyle="1" w:styleId="101">
    <w:name w:val="一级缩进 Char"/>
    <w:link w:val="102"/>
    <w:autoRedefine/>
    <w:qFormat/>
    <w:uiPriority w:val="0"/>
    <w:rPr>
      <w:rFonts w:eastAsia="仿宋_GB2312"/>
      <w:kern w:val="2"/>
      <w:sz w:val="32"/>
      <w:szCs w:val="32"/>
      <w:lang w:val="en-US" w:eastAsia="zh-CN" w:bidi="ar-SA"/>
    </w:rPr>
  </w:style>
  <w:style w:type="paragraph" w:customStyle="1" w:styleId="102">
    <w:name w:val="一级缩进"/>
    <w:link w:val="101"/>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3">
    <w:name w:val="批注框文本 Char1"/>
    <w:autoRedefine/>
    <w:semiHidden/>
    <w:qFormat/>
    <w:uiPriority w:val="99"/>
    <w:rPr>
      <w:rFonts w:ascii="Times New Roman" w:hAnsi="Times New Roman"/>
      <w:kern w:val="2"/>
      <w:sz w:val="18"/>
      <w:szCs w:val="18"/>
    </w:rPr>
  </w:style>
  <w:style w:type="character" w:customStyle="1" w:styleId="104">
    <w:name w:val="列出段落 Char"/>
    <w:link w:val="105"/>
    <w:autoRedefine/>
    <w:qFormat/>
    <w:locked/>
    <w:uiPriority w:val="0"/>
    <w:rPr>
      <w:rFonts w:ascii="Calibri" w:hAnsi="Calibri" w:eastAsia="宋体" w:cs="Times New Roman"/>
    </w:rPr>
  </w:style>
  <w:style w:type="paragraph" w:customStyle="1" w:styleId="105">
    <w:name w:val="列出段落1"/>
    <w:basedOn w:val="1"/>
    <w:link w:val="104"/>
    <w:autoRedefine/>
    <w:qFormat/>
    <w:uiPriority w:val="0"/>
    <w:pPr>
      <w:ind w:firstLine="200" w:firstLineChars="200"/>
    </w:pPr>
    <w:rPr>
      <w:rFonts w:ascii="Calibri" w:hAnsi="Calibri"/>
      <w:kern w:val="0"/>
      <w:sz w:val="20"/>
      <w:szCs w:val="20"/>
    </w:rPr>
  </w:style>
  <w:style w:type="character" w:customStyle="1" w:styleId="106">
    <w:name w:val="Char Char9"/>
    <w:autoRedefine/>
    <w:qFormat/>
    <w:uiPriority w:val="0"/>
    <w:rPr>
      <w:rFonts w:ascii="等线 Light" w:hAnsi="等线 Light" w:eastAsia="等线 Light" w:cs="Times New Roman"/>
      <w:b/>
      <w:bCs/>
      <w:sz w:val="28"/>
      <w:szCs w:val="28"/>
    </w:rPr>
  </w:style>
  <w:style w:type="character" w:customStyle="1" w:styleId="107">
    <w:name w:val="批注文字 Char"/>
    <w:autoRedefine/>
    <w:qFormat/>
    <w:uiPriority w:val="0"/>
    <w:rPr>
      <w:kern w:val="2"/>
      <w:sz w:val="21"/>
      <w:szCs w:val="22"/>
    </w:rPr>
  </w:style>
  <w:style w:type="character" w:customStyle="1" w:styleId="108">
    <w:name w:val="表格文字 Char"/>
    <w:link w:val="109"/>
    <w:autoRedefine/>
    <w:qFormat/>
    <w:uiPriority w:val="0"/>
    <w:rPr>
      <w:kern w:val="21"/>
      <w:szCs w:val="21"/>
    </w:rPr>
  </w:style>
  <w:style w:type="paragraph" w:customStyle="1" w:styleId="109">
    <w:name w:val="表格文字"/>
    <w:basedOn w:val="1"/>
    <w:link w:val="108"/>
    <w:autoRedefine/>
    <w:qFormat/>
    <w:uiPriority w:val="0"/>
    <w:pPr>
      <w:jc w:val="left"/>
    </w:pPr>
    <w:rPr>
      <w:kern w:val="21"/>
      <w:sz w:val="20"/>
      <w:szCs w:val="21"/>
    </w:rPr>
  </w:style>
  <w:style w:type="character" w:customStyle="1" w:styleId="110">
    <w:name w:val="font11"/>
    <w:autoRedefine/>
    <w:qFormat/>
    <w:uiPriority w:val="0"/>
    <w:rPr>
      <w:rFonts w:hint="eastAsia" w:ascii="宋体" w:hAnsi="宋体" w:eastAsia="宋体" w:cs="宋体"/>
      <w:color w:val="000000"/>
      <w:sz w:val="20"/>
      <w:szCs w:val="20"/>
      <w:u w:val="none"/>
    </w:rPr>
  </w:style>
  <w:style w:type="character" w:customStyle="1" w:styleId="111">
    <w:name w:val="font21"/>
    <w:autoRedefine/>
    <w:qFormat/>
    <w:uiPriority w:val="0"/>
    <w:rPr>
      <w:rFonts w:hint="eastAsia" w:ascii="仿宋_GB2312" w:hAnsi="Times New Roman" w:eastAsia="仿宋_GB2312" w:cs="仿宋_GB2312"/>
      <w:color w:val="000000"/>
      <w:sz w:val="22"/>
      <w:szCs w:val="22"/>
      <w:u w:val="none"/>
    </w:rPr>
  </w:style>
  <w:style w:type="character" w:customStyle="1" w:styleId="112">
    <w:name w:val="正文1 Char Char"/>
    <w:link w:val="113"/>
    <w:autoRedefine/>
    <w:qFormat/>
    <w:locked/>
    <w:uiPriority w:val="99"/>
    <w:rPr>
      <w:rFonts w:ascii="微软雅黑" w:hAnsi="微软雅黑" w:eastAsia="微软雅黑"/>
      <w:kern w:val="2"/>
      <w:sz w:val="24"/>
    </w:rPr>
  </w:style>
  <w:style w:type="paragraph" w:customStyle="1" w:styleId="113">
    <w:name w:val="正文1"/>
    <w:basedOn w:val="1"/>
    <w:link w:val="112"/>
    <w:autoRedefine/>
    <w:qFormat/>
    <w:uiPriority w:val="0"/>
    <w:pPr>
      <w:snapToGrid w:val="0"/>
      <w:spacing w:line="440" w:lineRule="exact"/>
      <w:ind w:firstLine="480" w:firstLineChars="200"/>
    </w:pPr>
    <w:rPr>
      <w:rFonts w:ascii="微软雅黑" w:hAnsi="微软雅黑" w:eastAsia="微软雅黑"/>
      <w:sz w:val="24"/>
      <w:szCs w:val="20"/>
    </w:rPr>
  </w:style>
  <w:style w:type="character" w:customStyle="1" w:styleId="114">
    <w:name w:val="font131"/>
    <w:autoRedefine/>
    <w:qFormat/>
    <w:uiPriority w:val="0"/>
    <w:rPr>
      <w:rFonts w:ascii="Wingdings 2" w:hAnsi="Wingdings 2" w:eastAsia="Wingdings 2" w:cs="Wingdings 2"/>
      <w:color w:val="000000"/>
      <w:sz w:val="20"/>
      <w:szCs w:val="20"/>
      <w:u w:val="none"/>
    </w:rPr>
  </w:style>
  <w:style w:type="character" w:customStyle="1" w:styleId="115">
    <w:name w:val="unnamed11"/>
    <w:autoRedefine/>
    <w:qFormat/>
    <w:uiPriority w:val="99"/>
    <w:rPr>
      <w:rFonts w:hint="eastAsia" w:ascii="宋体" w:hAnsi="宋体" w:eastAsia="宋体"/>
      <w:sz w:val="21"/>
      <w:szCs w:val="21"/>
    </w:rPr>
  </w:style>
  <w:style w:type="character" w:customStyle="1" w:styleId="116">
    <w:name w:val="font81"/>
    <w:autoRedefine/>
    <w:qFormat/>
    <w:uiPriority w:val="0"/>
    <w:rPr>
      <w:rFonts w:ascii="Symbol" w:hAnsi="Symbol" w:cs="Symbol"/>
      <w:color w:val="000000"/>
      <w:sz w:val="20"/>
      <w:szCs w:val="20"/>
      <w:u w:val="none"/>
    </w:rPr>
  </w:style>
  <w:style w:type="character" w:customStyle="1" w:styleId="117">
    <w:name w:val="文档结构图 Char1"/>
    <w:autoRedefine/>
    <w:semiHidden/>
    <w:qFormat/>
    <w:uiPriority w:val="99"/>
    <w:rPr>
      <w:rFonts w:ascii="宋体"/>
      <w:kern w:val="2"/>
      <w:sz w:val="18"/>
      <w:szCs w:val="18"/>
    </w:rPr>
  </w:style>
  <w:style w:type="character" w:customStyle="1" w:styleId="118">
    <w:name w:val="正文文本 3 Char1"/>
    <w:autoRedefine/>
    <w:semiHidden/>
    <w:qFormat/>
    <w:uiPriority w:val="99"/>
    <w:rPr>
      <w:kern w:val="2"/>
      <w:sz w:val="16"/>
      <w:szCs w:val="16"/>
    </w:rPr>
  </w:style>
  <w:style w:type="character" w:customStyle="1" w:styleId="119">
    <w:name w:val="font221"/>
    <w:autoRedefine/>
    <w:qFormat/>
    <w:uiPriority w:val="0"/>
    <w:rPr>
      <w:rFonts w:hint="eastAsia" w:ascii="宋体" w:hAnsi="宋体" w:eastAsia="宋体" w:cs="宋体"/>
      <w:b/>
      <w:color w:val="000000"/>
      <w:sz w:val="20"/>
      <w:szCs w:val="20"/>
      <w:u w:val="none"/>
    </w:rPr>
  </w:style>
  <w:style w:type="character" w:customStyle="1" w:styleId="120">
    <w:name w:val="正文文本缩进 Char1"/>
    <w:autoRedefine/>
    <w:semiHidden/>
    <w:qFormat/>
    <w:uiPriority w:val="99"/>
  </w:style>
  <w:style w:type="character" w:customStyle="1" w:styleId="121">
    <w:name w:val="NormalCharacter"/>
    <w:autoRedefine/>
    <w:qFormat/>
    <w:uiPriority w:val="0"/>
    <w:rPr>
      <w:kern w:val="2"/>
      <w:sz w:val="21"/>
      <w:szCs w:val="22"/>
      <w:lang w:val="en-US" w:eastAsia="zh-CN" w:bidi="ar-SA"/>
    </w:rPr>
  </w:style>
  <w:style w:type="character" w:customStyle="1" w:styleId="122">
    <w:name w:val="font111"/>
    <w:autoRedefine/>
    <w:qFormat/>
    <w:uiPriority w:val="0"/>
    <w:rPr>
      <w:rFonts w:hint="eastAsia" w:ascii="宋体" w:hAnsi="宋体" w:eastAsia="宋体" w:cs="宋体"/>
      <w:color w:val="FF0000"/>
      <w:sz w:val="18"/>
      <w:szCs w:val="18"/>
      <w:u w:val="none"/>
    </w:rPr>
  </w:style>
  <w:style w:type="character" w:customStyle="1" w:styleId="123">
    <w:name w:val="Char Char11"/>
    <w:autoRedefine/>
    <w:qFormat/>
    <w:uiPriority w:val="0"/>
    <w:rPr>
      <w:rFonts w:ascii="Arial" w:hAnsi="Arial" w:eastAsia="宋体" w:cs="Times New Roman"/>
      <w:b/>
      <w:bCs/>
      <w:sz w:val="28"/>
      <w:szCs w:val="36"/>
    </w:rPr>
  </w:style>
  <w:style w:type="character" w:customStyle="1" w:styleId="124">
    <w:name w:val="top_title1"/>
    <w:autoRedefine/>
    <w:qFormat/>
    <w:uiPriority w:val="0"/>
    <w:rPr>
      <w:b/>
      <w:bCs/>
      <w:color w:val="333333"/>
      <w:sz w:val="24"/>
      <w:szCs w:val="24"/>
    </w:rPr>
  </w:style>
  <w:style w:type="character" w:customStyle="1" w:styleId="125">
    <w:name w:val="正文缩进 Char1"/>
    <w:autoRedefine/>
    <w:qFormat/>
    <w:locked/>
    <w:uiPriority w:val="0"/>
    <w:rPr>
      <w:rFonts w:ascii="Times New Roman" w:hAnsi="Times New Roman" w:eastAsia="宋体" w:cs="Times New Roman"/>
      <w:szCs w:val="20"/>
    </w:rPr>
  </w:style>
  <w:style w:type="character" w:customStyle="1" w:styleId="126">
    <w:name w:val="Char Char12"/>
    <w:autoRedefine/>
    <w:qFormat/>
    <w:uiPriority w:val="0"/>
    <w:rPr>
      <w:b/>
      <w:bCs/>
      <w:kern w:val="44"/>
      <w:sz w:val="44"/>
      <w:szCs w:val="44"/>
    </w:rPr>
  </w:style>
  <w:style w:type="character" w:customStyle="1" w:styleId="127">
    <w:name w:val="font41"/>
    <w:autoRedefine/>
    <w:qFormat/>
    <w:uiPriority w:val="0"/>
    <w:rPr>
      <w:rFonts w:hint="eastAsia" w:ascii="宋体" w:hAnsi="宋体" w:eastAsia="宋体"/>
      <w:color w:val="000000"/>
      <w:sz w:val="32"/>
      <w:szCs w:val="32"/>
      <w:u w:val="none"/>
    </w:rPr>
  </w:style>
  <w:style w:type="character" w:customStyle="1" w:styleId="128">
    <w:name w:val="font91"/>
    <w:autoRedefine/>
    <w:qFormat/>
    <w:uiPriority w:val="0"/>
    <w:rPr>
      <w:rFonts w:hint="eastAsia" w:ascii="宋体" w:hAnsi="宋体" w:eastAsia="宋体" w:cs="宋体"/>
      <w:color w:val="000000"/>
      <w:sz w:val="16"/>
      <w:szCs w:val="16"/>
      <w:u w:val="none"/>
    </w:rPr>
  </w:style>
  <w:style w:type="character" w:customStyle="1" w:styleId="129">
    <w:name w:val="hover4"/>
    <w:autoRedefine/>
    <w:qFormat/>
    <w:uiPriority w:val="0"/>
    <w:rPr>
      <w:color w:val="999999"/>
    </w:rPr>
  </w:style>
  <w:style w:type="character" w:customStyle="1" w:styleId="130">
    <w:name w:val="ca-161"/>
    <w:autoRedefine/>
    <w:qFormat/>
    <w:uiPriority w:val="0"/>
    <w:rPr>
      <w:rFonts w:hint="eastAsia" w:ascii="宋体" w:hAnsi="宋体" w:eastAsia="宋体"/>
      <w:spacing w:val="0"/>
      <w:sz w:val="21"/>
      <w:szCs w:val="21"/>
    </w:rPr>
  </w:style>
  <w:style w:type="character" w:customStyle="1" w:styleId="131">
    <w:name w:val="font161"/>
    <w:autoRedefine/>
    <w:qFormat/>
    <w:uiPriority w:val="0"/>
    <w:rPr>
      <w:rFonts w:hint="eastAsia" w:ascii="宋体" w:hAnsi="宋体" w:eastAsia="宋体" w:cs="宋体"/>
      <w:b/>
      <w:color w:val="FF0000"/>
      <w:sz w:val="20"/>
      <w:szCs w:val="20"/>
      <w:u w:val="none"/>
    </w:rPr>
  </w:style>
  <w:style w:type="character" w:customStyle="1" w:styleId="132">
    <w:name w:val="font141"/>
    <w:autoRedefine/>
    <w:qFormat/>
    <w:uiPriority w:val="0"/>
    <w:rPr>
      <w:rFonts w:hint="eastAsia" w:ascii="宋体" w:hAnsi="宋体" w:eastAsia="宋体" w:cs="宋体"/>
      <w:color w:val="FF0000"/>
      <w:sz w:val="20"/>
      <w:szCs w:val="20"/>
      <w:u w:val="none"/>
      <w:vertAlign w:val="superscript"/>
    </w:rPr>
  </w:style>
  <w:style w:type="character" w:customStyle="1" w:styleId="133">
    <w:name w:val="H2 Char"/>
    <w:autoRedefine/>
    <w:qFormat/>
    <w:uiPriority w:val="0"/>
    <w:rPr>
      <w:rFonts w:ascii="Arial" w:hAnsi="Arial" w:eastAsia="黑体" w:cs="Times New Roman"/>
      <w:b/>
      <w:bCs/>
      <w:sz w:val="32"/>
      <w:szCs w:val="32"/>
    </w:rPr>
  </w:style>
  <w:style w:type="character" w:customStyle="1" w:styleId="134">
    <w:name w:val="font171"/>
    <w:autoRedefine/>
    <w:qFormat/>
    <w:uiPriority w:val="0"/>
    <w:rPr>
      <w:rFonts w:hint="eastAsia" w:ascii="宋体" w:hAnsi="宋体" w:eastAsia="宋体" w:cs="宋体"/>
      <w:color w:val="000000"/>
      <w:sz w:val="20"/>
      <w:szCs w:val="20"/>
      <w:u w:val="none"/>
    </w:rPr>
  </w:style>
  <w:style w:type="character" w:customStyle="1" w:styleId="135">
    <w:name w:val="无间隔 Char"/>
    <w:link w:val="136"/>
    <w:autoRedefine/>
    <w:qFormat/>
    <w:locked/>
    <w:uiPriority w:val="0"/>
    <w:rPr>
      <w:kern w:val="2"/>
      <w:sz w:val="21"/>
      <w:szCs w:val="22"/>
      <w:lang w:val="en-US" w:eastAsia="zh-CN" w:bidi="ar-SA"/>
    </w:rPr>
  </w:style>
  <w:style w:type="paragraph" w:customStyle="1" w:styleId="136">
    <w:name w:val="msonospacing"/>
    <w:link w:val="13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 1.1"/>
    <w:basedOn w:val="1"/>
    <w:next w:val="138"/>
    <w:autoRedefine/>
    <w:qFormat/>
    <w:uiPriority w:val="0"/>
    <w:pPr>
      <w:numPr>
        <w:ilvl w:val="1"/>
        <w:numId w:val="4"/>
      </w:numPr>
      <w:ind w:firstLine="550"/>
      <w:outlineLvl w:val="1"/>
    </w:pPr>
    <w:rPr>
      <w:rFonts w:ascii="仿宋" w:hAnsi="仿宋"/>
      <w:b/>
    </w:rPr>
  </w:style>
  <w:style w:type="paragraph" w:customStyle="1" w:styleId="138">
    <w:name w:val="正文 1.1.1"/>
    <w:basedOn w:val="1"/>
    <w:next w:val="1"/>
    <w:autoRedefine/>
    <w:qFormat/>
    <w:uiPriority w:val="0"/>
    <w:pPr>
      <w:numPr>
        <w:ilvl w:val="2"/>
        <w:numId w:val="4"/>
      </w:numPr>
      <w:outlineLvl w:val="2"/>
    </w:pPr>
    <w:rPr>
      <w:rFonts w:hAnsi="宋体"/>
      <w:color w:val="FF0000"/>
    </w:rPr>
  </w:style>
  <w:style w:type="paragraph" w:customStyle="1" w:styleId="139">
    <w:name w:val="Char1 Char Char Char Char Char Char"/>
    <w:basedOn w:val="1"/>
    <w:autoRedefine/>
    <w:qFormat/>
    <w:uiPriority w:val="0"/>
    <w:rPr>
      <w:szCs w:val="24"/>
    </w:rPr>
  </w:style>
  <w:style w:type="paragraph" w:customStyle="1" w:styleId="140">
    <w:name w:val="ListBullet2"/>
    <w:basedOn w:val="1"/>
    <w:autoRedefine/>
    <w:qFormat/>
    <w:uiPriority w:val="0"/>
    <w:pPr>
      <w:tabs>
        <w:tab w:val="left" w:pos="780"/>
      </w:tabs>
      <w:ind w:left="780" w:hanging="360"/>
      <w:textAlignment w:val="baseline"/>
    </w:pPr>
  </w:style>
  <w:style w:type="paragraph" w:customStyle="1" w:styleId="141">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2">
    <w:name w:val="unnamed1"/>
    <w:basedOn w:val="1"/>
    <w:autoRedefine/>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3">
    <w:name w:val="文档标题"/>
    <w:basedOn w:val="1"/>
    <w:autoRedefine/>
    <w:qFormat/>
    <w:uiPriority w:val="0"/>
    <w:pPr>
      <w:spacing w:beforeLines="100" w:afterLines="100" w:line="300" w:lineRule="auto"/>
      <w:jc w:val="center"/>
    </w:pPr>
    <w:rPr>
      <w:rFonts w:ascii="Arial" w:hAnsi="Arial" w:eastAsia="黑体" w:cs="Arial"/>
      <w:b/>
      <w:sz w:val="48"/>
      <w:szCs w:val="32"/>
    </w:rPr>
  </w:style>
  <w:style w:type="paragraph" w:customStyle="1" w:styleId="144">
    <w:name w:val="Char"/>
    <w:basedOn w:val="1"/>
    <w:autoRedefine/>
    <w:qFormat/>
    <w:uiPriority w:val="0"/>
    <w:pPr>
      <w:tabs>
        <w:tab w:val="left" w:pos="360"/>
      </w:tabs>
      <w:ind w:firstLine="200" w:firstLineChars="200"/>
    </w:pPr>
    <w:rPr>
      <w:sz w:val="28"/>
      <w:szCs w:val="30"/>
    </w:rPr>
  </w:style>
  <w:style w:type="paragraph" w:customStyle="1" w:styleId="145">
    <w:name w:val="Char1"/>
    <w:basedOn w:val="1"/>
    <w:autoRedefine/>
    <w:qFormat/>
    <w:uiPriority w:val="0"/>
    <w:rPr>
      <w:rFonts w:ascii="仿宋_GB2312" w:eastAsia="仿宋_GB2312"/>
      <w:b/>
      <w:sz w:val="32"/>
      <w:szCs w:val="32"/>
    </w:rPr>
  </w:style>
  <w:style w:type="paragraph" w:customStyle="1" w:styleId="1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7">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48">
    <w:name w:val="Normal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9">
    <w:name w:val="List Paragraph1"/>
    <w:basedOn w:val="1"/>
    <w:autoRedefine/>
    <w:qFormat/>
    <w:uiPriority w:val="0"/>
    <w:pPr>
      <w:ind w:firstLine="420" w:firstLineChars="200"/>
    </w:pPr>
    <w:rPr>
      <w:szCs w:val="20"/>
    </w:rPr>
  </w:style>
  <w:style w:type="paragraph" w:customStyle="1" w:styleId="150">
    <w:name w:val="CD 正文"/>
    <w:basedOn w:val="1"/>
    <w:autoRedefine/>
    <w:qFormat/>
    <w:uiPriority w:val="0"/>
    <w:pPr>
      <w:jc w:val="left"/>
    </w:pPr>
    <w:rPr>
      <w:rFonts w:ascii="Arial" w:hAnsi="Arial" w:eastAsia="微软雅黑" w:cs="Arial"/>
      <w:szCs w:val="21"/>
    </w:rPr>
  </w:style>
  <w:style w:type="paragraph" w:customStyle="1" w:styleId="15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52">
    <w:name w:val="Default Paragraph Font Para Char"/>
    <w:basedOn w:val="1"/>
    <w:autoRedefine/>
    <w:qFormat/>
    <w:uiPriority w:val="0"/>
    <w:pPr>
      <w:widowControl/>
      <w:spacing w:beforeLines="50" w:after="160" w:line="240" w:lineRule="exact"/>
      <w:jc w:val="left"/>
    </w:pPr>
    <w:rPr>
      <w:rFonts w:ascii="Verdana" w:hAnsi="Verdana"/>
      <w:kern w:val="0"/>
      <w:sz w:val="20"/>
      <w:szCs w:val="20"/>
      <w:lang w:eastAsia="en-US"/>
    </w:rPr>
  </w:style>
  <w:style w:type="paragraph" w:customStyle="1" w:styleId="153">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54">
    <w:name w:val="Char2"/>
    <w:basedOn w:val="1"/>
    <w:autoRedefine/>
    <w:qFormat/>
    <w:uiPriority w:val="0"/>
    <w:pPr>
      <w:tabs>
        <w:tab w:val="left" w:pos="1350"/>
      </w:tabs>
      <w:ind w:left="1350" w:hanging="1350"/>
    </w:pPr>
    <w:rPr>
      <w:sz w:val="24"/>
      <w:szCs w:val="24"/>
    </w:rPr>
  </w:style>
  <w:style w:type="paragraph" w:customStyle="1" w:styleId="155">
    <w:name w:val="纯文本1"/>
    <w:autoRedefine/>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6">
    <w:name w:val="Char Char Char Char Char Char Char"/>
    <w:basedOn w:val="20"/>
    <w:autoRedefine/>
    <w:qFormat/>
    <w:uiPriority w:val="0"/>
    <w:pPr>
      <w:shd w:val="clear" w:color="auto" w:fill="000080"/>
    </w:pPr>
    <w:rPr>
      <w:rFonts w:ascii="Times New Roman"/>
      <w:sz w:val="21"/>
      <w:szCs w:val="20"/>
    </w:rPr>
  </w:style>
  <w:style w:type="paragraph" w:customStyle="1" w:styleId="157">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4"/>
    </w:rPr>
  </w:style>
  <w:style w:type="paragraph" w:styleId="158">
    <w:name w:val="List Paragraph"/>
    <w:basedOn w:val="1"/>
    <w:autoRedefine/>
    <w:qFormat/>
    <w:uiPriority w:val="34"/>
    <w:pPr>
      <w:ind w:left="720"/>
    </w:pPr>
    <w:rPr>
      <w:szCs w:val="21"/>
    </w:rPr>
  </w:style>
  <w:style w:type="paragraph" w:customStyle="1" w:styleId="159">
    <w:name w:val="二级目录"/>
    <w:next w:val="1"/>
    <w:autoRedefine/>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0">
    <w:name w:val="p0"/>
    <w:basedOn w:val="1"/>
    <w:autoRedefine/>
    <w:qFormat/>
    <w:uiPriority w:val="0"/>
    <w:pPr>
      <w:widowControl/>
    </w:pPr>
    <w:rPr>
      <w:kern w:val="0"/>
      <w:szCs w:val="21"/>
    </w:rPr>
  </w:style>
  <w:style w:type="paragraph" w:customStyle="1" w:styleId="16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2">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_Style 2"/>
    <w:basedOn w:val="1"/>
    <w:autoRedefine/>
    <w:qFormat/>
    <w:uiPriority w:val="34"/>
    <w:pPr>
      <w:ind w:firstLine="420" w:firstLineChars="200"/>
    </w:pPr>
    <w:rPr>
      <w:szCs w:val="24"/>
    </w:rPr>
  </w:style>
  <w:style w:type="paragraph" w:customStyle="1" w:styleId="164">
    <w:name w:val="Table Paragraph"/>
    <w:basedOn w:val="1"/>
    <w:autoRedefine/>
    <w:qFormat/>
    <w:uiPriority w:val="1"/>
    <w:rPr>
      <w:rFonts w:ascii="Calibri" w:hAnsi="Calibri"/>
      <w:lang w:eastAsia="en-US"/>
    </w:rPr>
  </w:style>
  <w:style w:type="character" w:customStyle="1" w:styleId="165">
    <w:name w:val="font31"/>
    <w:autoRedefine/>
    <w:qFormat/>
    <w:uiPriority w:val="0"/>
    <w:rPr>
      <w:rFonts w:hint="eastAsia" w:ascii="宋体" w:hAnsi="宋体" w:eastAsia="宋体"/>
      <w:color w:val="000000"/>
      <w:sz w:val="21"/>
      <w:szCs w:val="21"/>
      <w:u w:val="none"/>
    </w:rPr>
  </w:style>
  <w:style w:type="paragraph" w:customStyle="1" w:styleId="166">
    <w:name w:val="UserStyle_0"/>
    <w:basedOn w:val="1"/>
    <w:autoRedefine/>
    <w:qFormat/>
    <w:uiPriority w:val="0"/>
    <w:pPr>
      <w:ind w:firstLine="480" w:firstLineChars="200"/>
      <w:textAlignment w:val="baseline"/>
    </w:pPr>
  </w:style>
  <w:style w:type="character" w:customStyle="1" w:styleId="167">
    <w:name w:val="标题 Char"/>
    <w:basedOn w:val="44"/>
    <w:link w:val="38"/>
    <w:autoRedefine/>
    <w:qFormat/>
    <w:uiPriority w:val="0"/>
    <w:rPr>
      <w:rFonts w:ascii="黑体" w:hAnsi="Arial" w:eastAsia="黑体" w:cs="Arial"/>
      <w:b/>
      <w:bCs/>
      <w:sz w:val="32"/>
      <w:szCs w:val="32"/>
    </w:rPr>
  </w:style>
  <w:style w:type="character" w:customStyle="1" w:styleId="168">
    <w:name w:val="正文首行缩进 Char"/>
    <w:link w:val="40"/>
    <w:autoRedefine/>
    <w:qFormat/>
    <w:uiPriority w:val="99"/>
    <w:rPr>
      <w:rFonts w:ascii="宋体" w:hAnsi="Verdana" w:eastAsia="楷体_GB2312"/>
      <w:sz w:val="28"/>
      <w:szCs w:val="28"/>
      <w:lang w:val="en-GB"/>
    </w:rPr>
  </w:style>
  <w:style w:type="paragraph" w:customStyle="1" w:styleId="169">
    <w:name w:val="Default"/>
    <w:autoRedefine/>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0">
    <w:name w:val="默认段落字体 Para Char Char Char"/>
    <w:basedOn w:val="1"/>
    <w:autoRedefine/>
    <w:qFormat/>
    <w:uiPriority w:val="0"/>
    <w:rPr>
      <w:szCs w:val="24"/>
    </w:rPr>
  </w:style>
  <w:style w:type="paragraph" w:customStyle="1" w:styleId="171">
    <w:name w:val="BodyText1I"/>
    <w:basedOn w:val="172"/>
    <w:autoRedefine/>
    <w:qFormat/>
    <w:uiPriority w:val="99"/>
    <w:pPr>
      <w:spacing w:after="120"/>
      <w:ind w:firstLine="420" w:firstLineChars="100"/>
    </w:pPr>
    <w:rPr>
      <w:rFonts w:ascii="Times New Roman" w:eastAsia="宋体" w:cs="Times New Roman"/>
      <w:sz w:val="20"/>
      <w:szCs w:val="20"/>
    </w:rPr>
  </w:style>
  <w:style w:type="paragraph" w:customStyle="1" w:styleId="172">
    <w:name w:val="BodyText"/>
    <w:basedOn w:val="1"/>
    <w:autoRedefine/>
    <w:qFormat/>
    <w:uiPriority w:val="99"/>
    <w:rPr>
      <w:rFonts w:ascii="华文中宋" w:eastAsia="Times New Roman" w:cs="华文中宋"/>
      <w:kern w:val="0"/>
      <w:sz w:val="28"/>
      <w:szCs w:val="28"/>
    </w:rPr>
  </w:style>
  <w:style w:type="paragraph" w:customStyle="1" w:styleId="173">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17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5">
    <w:name w:val="样式 小四 段前: 5 磅 段后: 5 磅 首行缩进:  2 字符"/>
    <w:basedOn w:val="1"/>
    <w:autoRedefine/>
    <w:qFormat/>
    <w:uiPriority w:val="0"/>
    <w:pPr>
      <w:tabs>
        <w:tab w:val="left" w:pos="0"/>
        <w:tab w:val="left" w:pos="1560"/>
      </w:tabs>
      <w:spacing w:before="93" w:beforeLines="30" w:after="93" w:afterLines="30"/>
      <w:jc w:val="center"/>
    </w:pPr>
    <w:rPr>
      <w:rFonts w:ascii="宋体" w:hAnsi="宋体"/>
      <w:color w:val="000000"/>
      <w:kern w:val="0"/>
      <w:sz w:val="34"/>
      <w:szCs w:val="21"/>
    </w:rPr>
  </w:style>
  <w:style w:type="paragraph" w:customStyle="1" w:styleId="176">
    <w:name w:val="列出段落11"/>
    <w:basedOn w:val="1"/>
    <w:autoRedefine/>
    <w:qFormat/>
    <w:uiPriority w:val="99"/>
    <w:pPr>
      <w:ind w:firstLine="420" w:firstLineChars="200"/>
    </w:pPr>
    <w:rPr>
      <w:rFonts w:ascii="Calibri" w:hAnsi="Calibri"/>
    </w:rPr>
  </w:style>
  <w:style w:type="paragraph" w:customStyle="1" w:styleId="177">
    <w:name w:val="msolistparagraph"/>
    <w:basedOn w:val="1"/>
    <w:autoRedefine/>
    <w:qFormat/>
    <w:uiPriority w:val="0"/>
    <w:pPr>
      <w:ind w:firstLine="420" w:firstLineChars="200"/>
    </w:pPr>
    <w:rPr>
      <w:szCs w:val="21"/>
    </w:rPr>
  </w:style>
  <w:style w:type="paragraph" w:customStyle="1" w:styleId="178">
    <w:name w:val="CM26"/>
    <w:basedOn w:val="1"/>
    <w:next w:val="1"/>
    <w:autoRedefine/>
    <w:qFormat/>
    <w:uiPriority w:val="99"/>
    <w:pPr>
      <w:autoSpaceDE w:val="0"/>
      <w:autoSpaceDN w:val="0"/>
      <w:adjustRightInd w:val="0"/>
      <w:spacing w:line="400" w:lineRule="atLeast"/>
      <w:jc w:val="left"/>
    </w:pPr>
    <w:rPr>
      <w:rFonts w:ascii="宋体" w:hAnsi="宋体"/>
      <w:kern w:val="0"/>
      <w:sz w:val="24"/>
      <w:szCs w:val="20"/>
    </w:rPr>
  </w:style>
  <w:style w:type="character" w:customStyle="1" w:styleId="179">
    <w:name w:val="font151"/>
    <w:autoRedefine/>
    <w:qFormat/>
    <w:uiPriority w:val="0"/>
    <w:rPr>
      <w:rFonts w:hint="eastAsia" w:ascii="微软雅黑" w:hAnsi="微软雅黑" w:eastAsia="微软雅黑" w:cs="微软雅黑"/>
      <w:color w:val="000000"/>
      <w:sz w:val="21"/>
      <w:szCs w:val="21"/>
      <w:u w:val="none"/>
    </w:rPr>
  </w:style>
  <w:style w:type="paragraph" w:customStyle="1" w:styleId="180">
    <w:name w:val="_Style 46"/>
    <w:autoRedefine/>
    <w:unhideWhenUsed/>
    <w:qFormat/>
    <w:uiPriority w:val="99"/>
    <w:rPr>
      <w:rFonts w:ascii="宋体" w:hAnsi="Times New Roman" w:eastAsia="宋体" w:cs="Times New Roman"/>
      <w:sz w:val="34"/>
      <w:lang w:val="en-US" w:eastAsia="zh-CN" w:bidi="ar-SA"/>
    </w:rPr>
  </w:style>
  <w:style w:type="paragraph" w:customStyle="1" w:styleId="181">
    <w:name w:val="一般"/>
    <w:autoRedefine/>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182">
    <w:name w:val="表格样式 2 A"/>
    <w:autoRedefine/>
    <w:qFormat/>
    <w:uiPriority w:val="0"/>
    <w:rPr>
      <w:rFonts w:hint="eastAsia" w:ascii="Arial Unicode MS" w:hAnsi="Arial Unicode MS" w:eastAsia="Helvetica Neue" w:cs="Arial Unicode MS"/>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4379</Words>
  <Characters>24965</Characters>
  <Lines>208</Lines>
  <Paragraphs>58</Paragraphs>
  <TotalTime>7</TotalTime>
  <ScaleCrop>false</ScaleCrop>
  <LinksUpToDate>false</LinksUpToDate>
  <CharactersWithSpaces>29286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耿帆</cp:lastModifiedBy>
  <cp:lastPrinted>2024-03-06T01:25:00Z</cp:lastPrinted>
  <dcterms:modified xsi:type="dcterms:W3CDTF">2024-03-18T03:52:58Z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93778E40FBD24771981371531E817BFB_13</vt:lpwstr>
  </property>
</Properties>
</file>