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napToGrid w:val="0"/>
        <w:spacing w:before="120" w:after="120" w:line="360" w:lineRule="auto"/>
        <w:jc w:val="right"/>
        <w:rPr>
          <w:rFonts w:hint="eastAsia" w:ascii="宋体" w:hAnsi="宋体" w:eastAsia="宋体" w:cs="宋体"/>
          <w:b/>
          <w:color w:val="auto"/>
          <w:sz w:val="36"/>
          <w:szCs w:val="36"/>
          <w:highlight w:val="none"/>
        </w:rPr>
      </w:pPr>
      <w:r>
        <w:rPr>
          <w:rFonts w:hint="eastAsia" w:hAnsi="宋体" w:cs="宋体"/>
          <w:b/>
          <w:bCs/>
          <w:color w:val="auto"/>
          <w:sz w:val="36"/>
          <w:szCs w:val="36"/>
          <w:highlight w:val="none"/>
          <w:lang w:eastAsia="zh-CN"/>
        </w:rPr>
        <w:t>JSZCZC2024012</w:t>
      </w:r>
      <w:r>
        <w:rPr>
          <w:rFonts w:hint="eastAsia" w:ascii="宋体" w:hAnsi="宋体" w:eastAsia="宋体" w:cs="宋体"/>
          <w:b/>
          <w:bCs/>
          <w:color w:val="auto"/>
          <w:sz w:val="36"/>
          <w:szCs w:val="36"/>
          <w:highlight w:val="none"/>
        </w:rPr>
        <w:t>号</w:t>
      </w:r>
    </w:p>
    <w:p>
      <w:pPr>
        <w:jc w:val="right"/>
        <w:rPr>
          <w:rFonts w:hint="eastAsia" w:ascii="宋体" w:hAnsi="宋体" w:eastAsia="宋体" w:cs="宋体"/>
          <w:color w:val="auto"/>
          <w:sz w:val="36"/>
          <w:highlight w:val="none"/>
        </w:rPr>
      </w:pPr>
    </w:p>
    <w:p>
      <w:pPr>
        <w:pStyle w:val="2"/>
        <w:rPr>
          <w:rFonts w:hint="eastAsia" w:ascii="宋体" w:hAnsi="宋体" w:eastAsia="宋体" w:cs="宋体"/>
          <w:color w:val="auto"/>
          <w:highlight w:val="none"/>
        </w:rPr>
      </w:pPr>
    </w:p>
    <w:p>
      <w:pPr>
        <w:jc w:val="center"/>
        <w:rPr>
          <w:rFonts w:hint="eastAsia" w:ascii="宋体" w:hAnsi="宋体" w:eastAsia="宋体" w:cs="宋体"/>
          <w:b/>
          <w:bCs/>
          <w:color w:val="auto"/>
          <w:sz w:val="36"/>
          <w:highlight w:val="none"/>
        </w:rPr>
      </w:pPr>
    </w:p>
    <w:p>
      <w:pPr>
        <w:jc w:val="center"/>
        <w:rPr>
          <w:rFonts w:hint="eastAsia" w:ascii="宋体" w:hAnsi="宋体" w:eastAsia="宋体" w:cs="宋体"/>
          <w:b/>
          <w:bCs/>
          <w:color w:val="auto"/>
          <w:sz w:val="36"/>
          <w:highlight w:val="none"/>
        </w:rPr>
      </w:pPr>
    </w:p>
    <w:p>
      <w:pPr>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GZ4</w:t>
      </w:r>
      <w:r>
        <w:rPr>
          <w:rFonts w:hint="eastAsia" w:ascii="宋体" w:hAnsi="宋体" w:eastAsia="宋体" w:cs="宋体"/>
          <w:b/>
          <w:bCs/>
          <w:color w:val="auto"/>
          <w:sz w:val="36"/>
          <w:highlight w:val="none"/>
          <w:lang w:val="en-US" w:eastAsia="zh-CN"/>
        </w:rPr>
        <w:t>5</w:t>
      </w:r>
      <w:r>
        <w:rPr>
          <w:rFonts w:hint="eastAsia" w:ascii="宋体" w:hAnsi="宋体" w:eastAsia="宋体" w:cs="宋体"/>
          <w:b/>
          <w:bCs/>
          <w:color w:val="auto"/>
          <w:sz w:val="36"/>
          <w:highlight w:val="none"/>
        </w:rPr>
        <w:t>8地块项目渠道推广服务公开招标文件</w:t>
      </w:r>
    </w:p>
    <w:p>
      <w:pPr>
        <w:jc w:val="center"/>
        <w:rPr>
          <w:rFonts w:hint="eastAsia" w:ascii="宋体" w:hAnsi="宋体" w:eastAsia="宋体" w:cs="宋体"/>
          <w:color w:val="auto"/>
          <w:sz w:val="36"/>
          <w:highlight w:val="none"/>
        </w:rPr>
      </w:pPr>
    </w:p>
    <w:p>
      <w:pPr>
        <w:jc w:val="left"/>
        <w:rPr>
          <w:rFonts w:hint="eastAsia" w:ascii="宋体" w:hAnsi="宋体" w:eastAsia="宋体" w:cs="宋体"/>
          <w:color w:val="auto"/>
          <w:sz w:val="36"/>
          <w:highlight w:val="none"/>
        </w:rPr>
      </w:pPr>
    </w:p>
    <w:p>
      <w:pPr>
        <w:jc w:val="left"/>
        <w:rPr>
          <w:rFonts w:hint="eastAsia" w:ascii="宋体" w:hAnsi="宋体" w:eastAsia="宋体" w:cs="宋体"/>
          <w:color w:val="auto"/>
          <w:sz w:val="36"/>
          <w:highlight w:val="none"/>
        </w:rPr>
      </w:pPr>
    </w:p>
    <w:p>
      <w:pPr>
        <w:jc w:val="left"/>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pStyle w:val="2"/>
        <w:ind w:firstLine="420"/>
        <w:rPr>
          <w:rFonts w:hint="eastAsia" w:ascii="宋体" w:hAnsi="宋体" w:eastAsia="宋体" w:cs="宋体"/>
          <w:color w:val="auto"/>
          <w:highlight w:val="none"/>
        </w:rPr>
      </w:pPr>
    </w:p>
    <w:p>
      <w:pPr>
        <w:spacing w:line="360" w:lineRule="auto"/>
        <w:ind w:leftChars="400" w:firstLine="506" w:firstLineChars="200"/>
        <w:rPr>
          <w:rFonts w:hint="eastAsia" w:ascii="宋体" w:hAnsi="宋体" w:eastAsia="宋体" w:cs="宋体"/>
          <w:b/>
          <w:bCs/>
          <w:color w:val="auto"/>
          <w:w w:val="90"/>
          <w:kern w:val="0"/>
          <w:sz w:val="28"/>
          <w:szCs w:val="28"/>
          <w:highlight w:val="none"/>
          <w:shd w:val="clear" w:color="auto" w:fill="FFFF00"/>
        </w:rPr>
      </w:pPr>
      <w:r>
        <w:rPr>
          <w:rFonts w:hint="eastAsia" w:ascii="宋体" w:hAnsi="宋体" w:eastAsia="宋体" w:cs="宋体"/>
          <w:b/>
          <w:bCs/>
          <w:color w:val="auto"/>
          <w:w w:val="90"/>
          <w:kern w:val="0"/>
          <w:sz w:val="28"/>
          <w:szCs w:val="28"/>
          <w:highlight w:val="none"/>
        </w:rPr>
        <w:t>采购人：扬州</w:t>
      </w:r>
      <w:r>
        <w:rPr>
          <w:rFonts w:hint="eastAsia" w:ascii="宋体" w:hAnsi="宋体" w:eastAsia="宋体" w:cs="宋体"/>
          <w:b/>
          <w:bCs/>
          <w:color w:val="auto"/>
          <w:w w:val="90"/>
          <w:kern w:val="0"/>
          <w:sz w:val="28"/>
          <w:szCs w:val="28"/>
          <w:highlight w:val="none"/>
          <w:lang w:val="en-US" w:eastAsia="zh-CN"/>
        </w:rPr>
        <w:t>锦佑置业</w:t>
      </w:r>
      <w:r>
        <w:rPr>
          <w:rFonts w:hint="eastAsia" w:ascii="宋体" w:hAnsi="宋体" w:eastAsia="宋体" w:cs="宋体"/>
          <w:b/>
          <w:bCs/>
          <w:color w:val="auto"/>
          <w:w w:val="90"/>
          <w:kern w:val="0"/>
          <w:sz w:val="28"/>
          <w:szCs w:val="28"/>
          <w:highlight w:val="none"/>
        </w:rPr>
        <w:t>有限公司</w:t>
      </w:r>
    </w:p>
    <w:p>
      <w:pPr>
        <w:spacing w:line="360" w:lineRule="auto"/>
        <w:ind w:leftChars="400" w:firstLine="506" w:firstLineChars="200"/>
        <w:rPr>
          <w:rFonts w:hint="eastAsia" w:ascii="宋体" w:hAnsi="宋体" w:eastAsia="宋体" w:cs="宋体"/>
          <w:b/>
          <w:bCs/>
          <w:color w:val="auto"/>
          <w:w w:val="90"/>
          <w:kern w:val="0"/>
          <w:sz w:val="28"/>
          <w:szCs w:val="28"/>
          <w:highlight w:val="none"/>
        </w:rPr>
      </w:pPr>
      <w:r>
        <w:rPr>
          <w:rFonts w:hint="eastAsia" w:ascii="宋体" w:hAnsi="宋体" w:eastAsia="宋体" w:cs="宋体"/>
          <w:b/>
          <w:bCs/>
          <w:color w:val="auto"/>
          <w:w w:val="90"/>
          <w:kern w:val="0"/>
          <w:sz w:val="28"/>
          <w:szCs w:val="28"/>
          <w:highlight w:val="none"/>
        </w:rPr>
        <w:t>采购代理机构(章)：江苏志诚工程咨询管理有限公司</w:t>
      </w:r>
    </w:p>
    <w:p>
      <w:pPr>
        <w:spacing w:line="360" w:lineRule="auto"/>
        <w:ind w:leftChars="400" w:firstLine="506" w:firstLineChars="200"/>
        <w:rPr>
          <w:rFonts w:hint="eastAsia" w:ascii="宋体" w:hAnsi="宋体" w:eastAsia="宋体" w:cs="宋体"/>
          <w:b/>
          <w:bCs/>
          <w:color w:val="auto"/>
          <w:w w:val="90"/>
          <w:kern w:val="0"/>
          <w:sz w:val="28"/>
          <w:szCs w:val="28"/>
          <w:highlight w:val="none"/>
        </w:rPr>
      </w:pPr>
      <w:r>
        <w:rPr>
          <w:rFonts w:hint="eastAsia" w:ascii="宋体" w:hAnsi="宋体" w:eastAsia="宋体" w:cs="宋体"/>
          <w:b/>
          <w:bCs/>
          <w:color w:val="auto"/>
          <w:w w:val="90"/>
          <w:kern w:val="0"/>
          <w:sz w:val="28"/>
          <w:szCs w:val="28"/>
          <w:highlight w:val="none"/>
        </w:rPr>
        <w:t>发 放 日 期：</w:t>
      </w:r>
      <w:bookmarkStart w:id="0" w:name="EB59c3faf64f2a4bd092a206fb1d0c3c03"/>
      <w:r>
        <w:rPr>
          <w:rFonts w:hint="eastAsia" w:ascii="宋体" w:hAnsi="宋体" w:eastAsia="宋体" w:cs="宋体"/>
          <w:b/>
          <w:bCs/>
          <w:color w:val="auto"/>
          <w:w w:val="90"/>
          <w:kern w:val="0"/>
          <w:sz w:val="28"/>
          <w:szCs w:val="28"/>
          <w:highlight w:val="none"/>
        </w:rPr>
        <w:t xml:space="preserve"> 202</w:t>
      </w:r>
      <w:r>
        <w:rPr>
          <w:rFonts w:hint="eastAsia" w:ascii="宋体" w:hAnsi="宋体" w:eastAsia="宋体" w:cs="宋体"/>
          <w:b/>
          <w:bCs/>
          <w:color w:val="auto"/>
          <w:w w:val="90"/>
          <w:kern w:val="0"/>
          <w:sz w:val="28"/>
          <w:szCs w:val="28"/>
          <w:highlight w:val="none"/>
          <w:lang w:val="en-US" w:eastAsia="zh-CN"/>
        </w:rPr>
        <w:t>4</w:t>
      </w:r>
      <w:r>
        <w:rPr>
          <w:rFonts w:hint="eastAsia" w:ascii="宋体" w:hAnsi="宋体" w:eastAsia="宋体" w:cs="宋体"/>
          <w:b/>
          <w:bCs/>
          <w:color w:val="auto"/>
          <w:w w:val="90"/>
          <w:kern w:val="0"/>
          <w:sz w:val="28"/>
          <w:szCs w:val="28"/>
          <w:highlight w:val="none"/>
        </w:rPr>
        <w:t>年</w:t>
      </w:r>
      <w:r>
        <w:rPr>
          <w:rFonts w:hint="eastAsia" w:ascii="宋体" w:hAnsi="宋体" w:cs="宋体"/>
          <w:b/>
          <w:bCs/>
          <w:color w:val="auto"/>
          <w:w w:val="90"/>
          <w:kern w:val="0"/>
          <w:sz w:val="28"/>
          <w:szCs w:val="28"/>
          <w:highlight w:val="none"/>
          <w:lang w:val="en-US" w:eastAsia="zh-CN"/>
        </w:rPr>
        <w:t>03</w:t>
      </w:r>
      <w:r>
        <w:rPr>
          <w:rFonts w:hint="eastAsia" w:ascii="宋体" w:hAnsi="宋体" w:eastAsia="宋体" w:cs="宋体"/>
          <w:b/>
          <w:bCs/>
          <w:color w:val="auto"/>
          <w:w w:val="90"/>
          <w:kern w:val="0"/>
          <w:sz w:val="28"/>
          <w:szCs w:val="28"/>
          <w:highlight w:val="none"/>
        </w:rPr>
        <w:t>月</w:t>
      </w:r>
      <w:bookmarkEnd w:id="0"/>
      <w:r>
        <w:rPr>
          <w:rFonts w:hint="eastAsia" w:ascii="宋体" w:hAnsi="宋体" w:cs="宋体"/>
          <w:b/>
          <w:bCs/>
          <w:color w:val="auto"/>
          <w:w w:val="90"/>
          <w:kern w:val="0"/>
          <w:sz w:val="28"/>
          <w:szCs w:val="28"/>
          <w:highlight w:val="none"/>
          <w:lang w:val="en-US" w:eastAsia="zh-CN"/>
        </w:rPr>
        <w:t>18</w:t>
      </w:r>
      <w:r>
        <w:rPr>
          <w:rFonts w:hint="eastAsia" w:ascii="宋体" w:hAnsi="宋体" w:eastAsia="宋体" w:cs="宋体"/>
          <w:b/>
          <w:bCs/>
          <w:color w:val="auto"/>
          <w:w w:val="90"/>
          <w:kern w:val="0"/>
          <w:sz w:val="28"/>
          <w:szCs w:val="28"/>
          <w:highlight w:val="none"/>
        </w:rPr>
        <w:t>日</w:t>
      </w: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sectPr>
          <w:headerReference r:id="rId4" w:type="first"/>
          <w:headerReference r:id="rId3" w:type="default"/>
          <w:footerReference r:id="rId5" w:type="default"/>
          <w:pgSz w:w="11906" w:h="16838"/>
          <w:pgMar w:top="1440" w:right="1080" w:bottom="1440" w:left="1080" w:header="851" w:footer="850" w:gutter="0"/>
          <w:cols w:space="0" w:num="1"/>
          <w:docGrid w:type="lines" w:linePitch="312" w:charSpace="0"/>
        </w:sectPr>
      </w:pPr>
    </w:p>
    <w:p>
      <w:pPr>
        <w:spacing w:line="360" w:lineRule="auto"/>
        <w:jc w:val="center"/>
        <w:rPr>
          <w:rFonts w:hint="eastAsia" w:ascii="宋体" w:hAnsi="宋体" w:eastAsia="宋体" w:cs="宋体"/>
          <w:b/>
          <w:bCs/>
          <w:color w:val="auto"/>
          <w:kern w:val="0"/>
          <w:sz w:val="44"/>
          <w:szCs w:val="44"/>
          <w:highlight w:val="none"/>
        </w:rPr>
      </w:pPr>
    </w:p>
    <w:p>
      <w:pPr>
        <w:spacing w:line="360" w:lineRule="auto"/>
        <w:jc w:val="center"/>
        <w:rPr>
          <w:rFonts w:hint="eastAsia" w:ascii="宋体" w:hAnsi="宋体" w:eastAsia="宋体" w:cs="宋体"/>
          <w:b/>
          <w:bCs/>
          <w:color w:val="auto"/>
          <w:kern w:val="0"/>
          <w:sz w:val="44"/>
          <w:szCs w:val="44"/>
          <w:highlight w:val="none"/>
        </w:rPr>
      </w:pPr>
    </w:p>
    <w:sdt>
      <w:sdtPr>
        <w:rPr>
          <w:rFonts w:hint="eastAsia" w:ascii="宋体" w:hAnsi="宋体" w:eastAsia="宋体" w:cs="宋体"/>
          <w:b/>
          <w:bCs/>
          <w:color w:val="auto"/>
          <w:kern w:val="0"/>
          <w:sz w:val="44"/>
          <w:szCs w:val="44"/>
          <w:highlight w:val="none"/>
        </w:rPr>
        <w:id w:val="147481306"/>
        <w:docPartObj>
          <w:docPartGallery w:val="Table of Contents"/>
          <w:docPartUnique/>
        </w:docPartObj>
      </w:sdtPr>
      <w:sdtEndPr>
        <w:rPr>
          <w:rFonts w:hint="eastAsia" w:ascii="宋体" w:hAnsi="宋体" w:eastAsia="宋体" w:cs="宋体"/>
          <w:b/>
          <w:bCs/>
          <w:color w:val="auto"/>
          <w:kern w:val="0"/>
          <w:sz w:val="20"/>
          <w:szCs w:val="24"/>
          <w:highlight w:val="none"/>
        </w:rPr>
      </w:sdtEndPr>
      <w:sdtContent>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目录</w:t>
          </w:r>
        </w:p>
        <w:p>
          <w:pPr>
            <w:pStyle w:val="33"/>
            <w:tabs>
              <w:tab w:val="right" w:leader="dot" w:pos="8306"/>
            </w:tabs>
            <w:spacing w:line="480" w:lineRule="auto"/>
            <w:ind w:leftChars="30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"_Toc29158"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第一章 招标公告</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_Toc29158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33"/>
            <w:tabs>
              <w:tab w:val="right" w:leader="dot" w:pos="8306"/>
            </w:tabs>
            <w:spacing w:line="480" w:lineRule="auto"/>
            <w:ind w:left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"_Toc23237"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第二章 投标人须知</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_Toc23237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33"/>
            <w:tabs>
              <w:tab w:val="right" w:leader="dot" w:pos="8306"/>
            </w:tabs>
            <w:spacing w:line="480" w:lineRule="auto"/>
            <w:ind w:leftChars="3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"_Toc16433"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第三章 合同条款及格式</w:t>
          </w:r>
          <w:r>
            <w:rPr>
              <w:rFonts w:hint="eastAsia" w:ascii="宋体" w:hAnsi="宋体" w:eastAsia="宋体" w:cs="宋体"/>
              <w:color w:val="auto"/>
              <w:sz w:val="24"/>
              <w:szCs w:val="28"/>
              <w:highlight w:val="none"/>
            </w:rPr>
            <w:tab/>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rPr>
            <w:fldChar w:fldCharType="end"/>
          </w:r>
          <w:r>
            <w:rPr>
              <w:rFonts w:hint="eastAsia" w:ascii="宋体" w:hAnsi="宋体" w:cs="宋体"/>
              <w:color w:val="auto"/>
              <w:sz w:val="24"/>
              <w:szCs w:val="28"/>
              <w:highlight w:val="none"/>
              <w:lang w:val="en-US" w:eastAsia="zh-CN"/>
            </w:rPr>
            <w:t>5</w:t>
          </w:r>
        </w:p>
        <w:p>
          <w:pPr>
            <w:pStyle w:val="33"/>
            <w:tabs>
              <w:tab w:val="right" w:leader="dot" w:pos="8306"/>
            </w:tabs>
            <w:spacing w:line="480" w:lineRule="auto"/>
            <w:ind w:left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"_Toc3717"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第四章 项目需求</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_Toc3717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29</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33"/>
            <w:tabs>
              <w:tab w:val="right" w:leader="dot" w:pos="8306"/>
            </w:tabs>
            <w:spacing w:line="480" w:lineRule="auto"/>
            <w:ind w:leftChars="3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"_Toc19375"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第五章 评标方法及评标标准</w:t>
          </w:r>
          <w:r>
            <w:rPr>
              <w:rFonts w:hint="eastAsia" w:ascii="宋体" w:hAnsi="宋体" w:eastAsia="宋体" w:cs="宋体"/>
              <w:color w:val="auto"/>
              <w:sz w:val="24"/>
              <w:szCs w:val="28"/>
              <w:highlight w:val="none"/>
            </w:rPr>
            <w:tab/>
          </w:r>
          <w:r>
            <w:rPr>
              <w:rFonts w:hint="eastAsia" w:ascii="宋体" w:hAnsi="宋体" w:cs="宋体"/>
              <w:color w:val="auto"/>
              <w:sz w:val="24"/>
              <w:szCs w:val="28"/>
              <w:highlight w:val="none"/>
              <w:lang w:val="en-US" w:eastAsia="zh-CN"/>
            </w:rPr>
            <w:t>3</w:t>
          </w:r>
          <w:r>
            <w:rPr>
              <w:rFonts w:hint="eastAsia" w:ascii="宋体" w:hAnsi="宋体" w:eastAsia="宋体" w:cs="宋体"/>
              <w:color w:val="auto"/>
              <w:sz w:val="24"/>
              <w:szCs w:val="28"/>
              <w:highlight w:val="none"/>
            </w:rPr>
            <w:fldChar w:fldCharType="end"/>
          </w:r>
          <w:r>
            <w:rPr>
              <w:rFonts w:hint="eastAsia" w:ascii="宋体" w:hAnsi="宋体" w:cs="宋体"/>
              <w:color w:val="auto"/>
              <w:sz w:val="24"/>
              <w:szCs w:val="28"/>
              <w:highlight w:val="none"/>
              <w:lang w:val="en-US" w:eastAsia="zh-CN"/>
            </w:rPr>
            <w:t>2</w:t>
          </w:r>
        </w:p>
        <w:p>
          <w:pPr>
            <w:pStyle w:val="33"/>
            <w:tabs>
              <w:tab w:val="right" w:leader="dot" w:pos="8306"/>
            </w:tabs>
            <w:spacing w:line="480" w:lineRule="auto"/>
            <w:ind w:leftChars="300"/>
            <w:rPr>
              <w:rFonts w:hint="eastAsia" w:ascii="宋体" w:hAnsi="宋体" w:eastAsia="宋体" w:cs="宋体"/>
              <w:color w:val="auto"/>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"_Toc28651"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第六章 投标文件格式</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_Toc28651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34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pPr>
            <w:pStyle w:val="40"/>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pPr>
        <w:spacing w:line="360" w:lineRule="auto"/>
        <w:jc w:val="center"/>
        <w:rPr>
          <w:rFonts w:hint="eastAsia" w:ascii="宋体" w:hAnsi="宋体" w:eastAsia="宋体" w:cs="宋体"/>
          <w:color w:val="auto"/>
          <w:sz w:val="32"/>
          <w:highlight w:val="none"/>
        </w:rPr>
      </w:pPr>
    </w:p>
    <w:p>
      <w:pPr>
        <w:pStyle w:val="10"/>
        <w:spacing w:line="360" w:lineRule="auto"/>
        <w:jc w:val="center"/>
        <w:rPr>
          <w:rFonts w:hint="eastAsia" w:ascii="宋体" w:hAnsi="宋体" w:eastAsia="宋体" w:cs="宋体"/>
          <w:color w:val="auto"/>
          <w:sz w:val="36"/>
          <w:highlight w:val="none"/>
        </w:rPr>
        <w:sectPr>
          <w:footerReference r:id="rId7" w:type="first"/>
          <w:footerReference r:id="rId6" w:type="default"/>
          <w:pgSz w:w="11906" w:h="16838"/>
          <w:pgMar w:top="1440" w:right="1080" w:bottom="1440" w:left="1080" w:header="851" w:footer="850" w:gutter="0"/>
          <w:cols w:space="0" w:num="1"/>
          <w:docGrid w:type="lines" w:linePitch="312" w:charSpace="0"/>
        </w:sectPr>
      </w:pPr>
      <w:bookmarkStart w:id="1" w:name="_Toc29158"/>
      <w:bookmarkStart w:id="2" w:name="_Toc32420"/>
      <w:bookmarkStart w:id="3" w:name="OLE_LINK1"/>
    </w:p>
    <w:p>
      <w:pPr>
        <w:pStyle w:val="1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36"/>
          <w:highlight w:val="none"/>
        </w:rPr>
        <w:t>第一章 招标公告</w:t>
      </w:r>
      <w:bookmarkEnd w:id="1"/>
      <w:bookmarkEnd w:id="2"/>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color w:val="auto"/>
          <w:szCs w:val="21"/>
          <w:highlight w:val="none"/>
        </w:rPr>
      </w:pPr>
      <w:bookmarkStart w:id="4" w:name="_Toc35393621"/>
      <w:bookmarkStart w:id="5" w:name="_Toc28359079"/>
      <w:bookmarkStart w:id="6" w:name="_Toc35393790"/>
      <w:bookmarkStart w:id="7" w:name="_Toc28359002"/>
      <w:bookmarkStart w:id="8" w:name="_Hlk24379207"/>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GZ4</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8地块项目渠道推广服务</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扬州维扬发展投资有限公司网站、江苏省招标投标公共服务平台</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获取招标文件，并于</w:t>
      </w:r>
      <w:r>
        <w:rPr>
          <w:rFonts w:hint="eastAsia" w:ascii="宋体" w:hAnsi="宋体" w:cs="宋体"/>
          <w:color w:val="auto"/>
          <w:szCs w:val="21"/>
          <w:highlight w:val="none"/>
          <w:u w:val="single"/>
          <w:lang w:eastAsia="zh-CN"/>
        </w:rPr>
        <w:t>2024年04月08日09点30分</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一、项目基本情况</w:t>
      </w:r>
      <w:bookmarkEnd w:id="4"/>
      <w:bookmarkEnd w:id="5"/>
      <w:bookmarkEnd w:id="6"/>
      <w:bookmarkEnd w:id="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JSZCZC2024012</w:t>
      </w:r>
      <w:r>
        <w:rPr>
          <w:rFonts w:hint="eastAsia" w:ascii="宋体" w:hAnsi="宋体" w:eastAsia="宋体" w:cs="宋体"/>
          <w:color w:val="auto"/>
          <w:szCs w:val="21"/>
          <w:highlight w:val="none"/>
        </w:rPr>
        <w:t>号</w:t>
      </w:r>
      <w:bookmarkStart w:id="131" w:name="_GoBack"/>
      <w:bookmarkEnd w:id="13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bookmarkEnd w:id="8"/>
      <w:r>
        <w:rPr>
          <w:rFonts w:hint="eastAsia" w:ascii="宋体" w:hAnsi="宋体" w:eastAsia="宋体" w:cs="宋体"/>
          <w:color w:val="auto"/>
          <w:szCs w:val="21"/>
          <w:highlight w:val="none"/>
        </w:rPr>
        <w:t>GZ4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8地块项目渠道推广服务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530</w:t>
      </w:r>
      <w:r>
        <w:rPr>
          <w:rFonts w:hint="eastAsia" w:ascii="宋体" w:hAnsi="宋体" w:eastAsia="宋体" w:cs="宋体"/>
          <w:color w:val="auto"/>
          <w:szCs w:val="21"/>
          <w:highlight w:val="none"/>
        </w:rPr>
        <w:t>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r>
        <w:rPr>
          <w:rFonts w:hint="eastAsia" w:ascii="宋体" w:hAnsi="宋体" w:eastAsia="宋体" w:cs="宋体"/>
          <w:color w:val="auto"/>
          <w:szCs w:val="21"/>
          <w:highlight w:val="none"/>
          <w:lang w:val="en-US" w:eastAsia="zh-CN"/>
        </w:rPr>
        <w:t>530</w:t>
      </w:r>
      <w:r>
        <w:rPr>
          <w:rFonts w:hint="eastAsia" w:ascii="宋体" w:hAnsi="宋体" w:eastAsia="宋体" w:cs="宋体"/>
          <w:color w:val="auto"/>
          <w:szCs w:val="21"/>
          <w:highlight w:val="none"/>
        </w:rPr>
        <w:t>万元（其中</w:t>
      </w:r>
      <w:r>
        <w:rPr>
          <w:rFonts w:hint="eastAsia" w:ascii="宋体" w:hAnsi="宋体" w:eastAsia="宋体" w:cs="宋体"/>
          <w:color w:val="auto"/>
          <w:szCs w:val="21"/>
          <w:highlight w:val="none"/>
          <w:lang w:val="en-US" w:eastAsia="zh-CN"/>
        </w:rPr>
        <w:t>媒体推广类费用</w:t>
      </w:r>
      <w:r>
        <w:rPr>
          <w:rFonts w:hint="eastAsia" w:ascii="宋体" w:hAnsi="宋体" w:eastAsia="宋体" w:cs="宋体"/>
          <w:color w:val="auto"/>
          <w:szCs w:val="21"/>
          <w:highlight w:val="none"/>
        </w:rPr>
        <w:t>限价</w:t>
      </w:r>
      <w:r>
        <w:rPr>
          <w:rFonts w:hint="eastAsia" w:ascii="宋体" w:hAnsi="宋体" w:eastAsia="宋体" w:cs="宋体"/>
          <w:color w:val="auto"/>
          <w:szCs w:val="21"/>
          <w:highlight w:val="none"/>
          <w:lang w:val="en-US" w:eastAsia="zh-CN"/>
        </w:rPr>
        <w:t>220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渠道</w:t>
      </w:r>
      <w:r>
        <w:rPr>
          <w:rFonts w:hint="eastAsia" w:ascii="宋体" w:hAnsi="宋体" w:cs="宋体"/>
          <w:color w:val="auto"/>
          <w:szCs w:val="21"/>
          <w:highlight w:val="none"/>
          <w:lang w:val="en-US" w:eastAsia="zh-CN"/>
        </w:rPr>
        <w:t>拓客</w:t>
      </w:r>
      <w:r>
        <w:rPr>
          <w:rFonts w:hint="eastAsia" w:ascii="宋体" w:hAnsi="宋体" w:eastAsia="宋体" w:cs="宋体"/>
          <w:color w:val="auto"/>
          <w:sz w:val="21"/>
          <w:szCs w:val="21"/>
          <w:highlight w:val="none"/>
          <w:lang w:val="en-US" w:eastAsia="zh-CN"/>
        </w:rPr>
        <w:t>类费用限价9</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活动推广类费用限价110万、</w:t>
      </w:r>
      <w:r>
        <w:rPr>
          <w:rFonts w:hint="eastAsia" w:ascii="宋体" w:hAnsi="宋体" w:eastAsia="宋体" w:cs="宋体"/>
          <w:color w:val="auto"/>
          <w:sz w:val="21"/>
          <w:szCs w:val="21"/>
          <w:highlight w:val="none"/>
        </w:rPr>
        <w:t>营销物料制作</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费</w:t>
      </w:r>
      <w:r>
        <w:rPr>
          <w:rFonts w:hint="eastAsia" w:ascii="宋体" w:hAnsi="宋体" w:eastAsia="宋体" w:cs="宋体"/>
          <w:color w:val="auto"/>
          <w:sz w:val="21"/>
          <w:szCs w:val="21"/>
          <w:highlight w:val="none"/>
          <w:lang w:val="en-US" w:eastAsia="zh-CN"/>
        </w:rPr>
        <w:t>用限价11</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rPr>
        <w:t>万元</w:t>
      </w:r>
      <w:r>
        <w:rPr>
          <w:rFonts w:hint="eastAsia" w:ascii="宋体" w:hAnsi="宋体" w:eastAsia="宋体" w:cs="宋体"/>
          <w:color w:val="auto"/>
          <w:szCs w:val="21"/>
          <w:highlight w:val="none"/>
        </w:rPr>
        <w:t>），</w:t>
      </w:r>
      <w:r>
        <w:rPr>
          <w:rFonts w:hint="eastAsia" w:ascii="宋体" w:hAnsi="宋体" w:eastAsia="宋体" w:cs="宋体"/>
          <w:snapToGrid w:val="0"/>
          <w:color w:val="auto"/>
          <w:kern w:val="0"/>
          <w:highlight w:val="none"/>
        </w:rPr>
        <w:t>投标人投标报价中任一分项</w:t>
      </w:r>
      <w:r>
        <w:rPr>
          <w:rFonts w:hint="eastAsia" w:ascii="宋体" w:hAnsi="宋体" w:eastAsia="宋体" w:cs="宋体"/>
          <w:snapToGrid w:val="0"/>
          <w:color w:val="auto"/>
          <w:kern w:val="0"/>
          <w:highlight w:val="none"/>
          <w:lang w:val="en-US" w:eastAsia="zh-CN"/>
        </w:rPr>
        <w:t>报价</w:t>
      </w:r>
      <w:r>
        <w:rPr>
          <w:rFonts w:hint="eastAsia" w:ascii="宋体" w:hAnsi="宋体" w:eastAsia="宋体" w:cs="宋体"/>
          <w:snapToGrid w:val="0"/>
          <w:color w:val="auto"/>
          <w:kern w:val="0"/>
          <w:highlight w:val="none"/>
        </w:rPr>
        <w:t>超过招标控制价中的分项限价或者投标总价超出招标人设定的投标控制价上限的，招标人均不予接受，其投标作无效标处理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shd w:val="clear" w:color="auto" w:fill="FFC000"/>
        </w:rPr>
      </w:pPr>
      <w:r>
        <w:rPr>
          <w:rFonts w:hint="eastAsia" w:ascii="宋体" w:hAnsi="宋体" w:eastAsia="宋体" w:cs="宋体"/>
          <w:color w:val="auto"/>
          <w:szCs w:val="21"/>
          <w:highlight w:val="none"/>
        </w:rPr>
        <w:t>采购需求：详见招标文件第四章</w:t>
      </w:r>
    </w:p>
    <w:p>
      <w:pPr>
        <w:spacing w:line="360" w:lineRule="auto"/>
        <w:ind w:firstLine="420" w:firstLineChars="200"/>
        <w:rPr>
          <w:rFonts w:hint="eastAsia" w:ascii="宋体" w:hAnsi="宋体" w:eastAsia="宋体" w:cs="宋体"/>
          <w:color w:val="auto"/>
          <w:szCs w:val="21"/>
          <w:highlight w:val="none"/>
          <w:u w:val="single"/>
          <w:shd w:val="clear" w:color="auto" w:fill="FFC000"/>
        </w:rPr>
      </w:pPr>
      <w:r>
        <w:rPr>
          <w:rFonts w:hint="eastAsia" w:ascii="宋体" w:hAnsi="宋体" w:eastAsia="宋体" w:cs="宋体"/>
          <w:color w:val="auto"/>
          <w:szCs w:val="21"/>
          <w:highlight w:val="none"/>
        </w:rPr>
        <w:t>合同履行期限：详见招标文件第四章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bookmarkEnd w:id="3"/>
    <w:p>
      <w:pPr>
        <w:spacing w:line="360" w:lineRule="auto"/>
        <w:ind w:firstLine="420" w:firstLineChars="200"/>
        <w:rPr>
          <w:rFonts w:hint="eastAsia" w:ascii="宋体" w:hAnsi="宋体" w:eastAsia="宋体" w:cs="宋体"/>
          <w:color w:val="auto"/>
          <w:szCs w:val="21"/>
          <w:highlight w:val="none"/>
        </w:rPr>
      </w:pPr>
      <w:bookmarkStart w:id="9" w:name="_Toc28359080"/>
      <w:bookmarkStart w:id="10" w:name="_Toc35393622"/>
      <w:bookmarkStart w:id="11" w:name="_Toc28359003"/>
      <w:bookmarkStart w:id="12" w:name="_Toc35393791"/>
      <w:r>
        <w:rPr>
          <w:rFonts w:hint="eastAsia" w:ascii="宋体" w:hAnsi="宋体" w:eastAsia="宋体" w:cs="宋体"/>
          <w:color w:val="auto"/>
          <w:szCs w:val="21"/>
          <w:highlight w:val="none"/>
        </w:rPr>
        <w:t>二、申请人的资格要求：</w:t>
      </w:r>
      <w:bookmarkEnd w:id="9"/>
      <w:bookmarkEnd w:id="10"/>
      <w:bookmarkEnd w:id="11"/>
      <w:bookmarkEnd w:id="12"/>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kern w:val="0"/>
          <w:szCs w:val="21"/>
          <w:highlight w:val="none"/>
        </w:rPr>
        <w:t>满足以下规定，并提供下列材料</w:t>
      </w:r>
      <w:r>
        <w:rPr>
          <w:rFonts w:hint="eastAsia" w:ascii="宋体" w:hAnsi="宋体" w:cs="宋体"/>
          <w:color w:val="auto"/>
          <w:kern w:val="0"/>
          <w:szCs w:val="21"/>
          <w:highlight w:val="none"/>
          <w:lang w:eastAsia="zh-CN"/>
        </w:rPr>
        <w:t>：</w:t>
      </w:r>
    </w:p>
    <w:p>
      <w:pPr>
        <w:spacing w:line="360" w:lineRule="auto"/>
        <w:ind w:firstLine="420" w:firstLineChars="200"/>
        <w:rPr>
          <w:rFonts w:hint="eastAsia" w:ascii="宋体" w:hAnsi="宋体" w:eastAsia="宋体" w:cs="宋体"/>
          <w:i/>
          <w:iCs/>
          <w:color w:val="auto"/>
          <w:szCs w:val="21"/>
          <w:highlight w:val="none"/>
          <w:u w:val="single"/>
        </w:rPr>
      </w:pPr>
      <w:bookmarkStart w:id="13" w:name="_Toc28359081"/>
      <w:bookmarkStart w:id="14" w:name="_Toc28359004"/>
      <w:r>
        <w:rPr>
          <w:rFonts w:hint="eastAsia" w:ascii="宋体" w:hAnsi="宋体" w:eastAsia="宋体" w:cs="宋体"/>
          <w:i/>
          <w:iCs/>
          <w:color w:val="auto"/>
          <w:szCs w:val="21"/>
          <w:highlight w:val="none"/>
          <w:u w:val="single"/>
        </w:rPr>
        <w:t>1.1投标函</w:t>
      </w:r>
      <w:r>
        <w:rPr>
          <w:rFonts w:hint="eastAsia" w:ascii="宋体" w:hAnsi="宋体" w:eastAsia="宋体" w:cs="宋体"/>
          <w:b/>
          <w:bCs/>
          <w:i/>
          <w:iCs/>
          <w:color w:val="auto"/>
          <w:szCs w:val="21"/>
          <w:highlight w:val="none"/>
          <w:u w:val="single"/>
        </w:rPr>
        <w:t>(原件)</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1.2资格声明</w:t>
      </w:r>
      <w:r>
        <w:rPr>
          <w:rFonts w:hint="eastAsia" w:ascii="宋体" w:hAnsi="宋体" w:eastAsia="宋体" w:cs="宋体"/>
          <w:b/>
          <w:bCs/>
          <w:i/>
          <w:iCs/>
          <w:color w:val="auto"/>
          <w:szCs w:val="21"/>
          <w:highlight w:val="none"/>
          <w:u w:val="single"/>
        </w:rPr>
        <w:t>(原件)</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1.3若法定代表人参加投标的，须提供本人身份证</w:t>
      </w:r>
      <w:r>
        <w:rPr>
          <w:rFonts w:hint="eastAsia" w:ascii="宋体" w:hAnsi="宋体" w:eastAsia="宋体" w:cs="宋体"/>
          <w:b/>
          <w:bCs/>
          <w:i/>
          <w:iCs/>
          <w:color w:val="auto"/>
          <w:szCs w:val="21"/>
          <w:highlight w:val="none"/>
          <w:u w:val="single"/>
        </w:rPr>
        <w:t>复印件(原件备查)</w:t>
      </w:r>
      <w:r>
        <w:rPr>
          <w:rFonts w:hint="eastAsia" w:ascii="宋体" w:hAnsi="宋体" w:eastAsia="宋体" w:cs="宋体"/>
          <w:i/>
          <w:iCs/>
          <w:color w:val="auto"/>
          <w:szCs w:val="21"/>
          <w:highlight w:val="none"/>
          <w:u w:val="single"/>
        </w:rPr>
        <w:t>；若授权代表参加的，须提供《法人授权书》</w:t>
      </w:r>
      <w:r>
        <w:rPr>
          <w:rFonts w:hint="eastAsia" w:ascii="宋体" w:hAnsi="宋体" w:eastAsia="宋体" w:cs="宋体"/>
          <w:b/>
          <w:bCs/>
          <w:i/>
          <w:iCs/>
          <w:color w:val="auto"/>
          <w:szCs w:val="21"/>
          <w:highlight w:val="none"/>
          <w:u w:val="single"/>
        </w:rPr>
        <w:t>原件</w:t>
      </w:r>
      <w:r>
        <w:rPr>
          <w:rFonts w:hint="eastAsia" w:ascii="宋体" w:hAnsi="宋体" w:eastAsia="宋体" w:cs="宋体"/>
          <w:i/>
          <w:iCs/>
          <w:color w:val="auto"/>
          <w:szCs w:val="21"/>
          <w:highlight w:val="none"/>
          <w:u w:val="single"/>
        </w:rPr>
        <w:t>和授权代表身份证</w:t>
      </w:r>
      <w:r>
        <w:rPr>
          <w:rFonts w:hint="eastAsia" w:ascii="宋体" w:hAnsi="宋体" w:eastAsia="宋体" w:cs="宋体"/>
          <w:b/>
          <w:bCs/>
          <w:i/>
          <w:iCs/>
          <w:color w:val="auto"/>
          <w:szCs w:val="21"/>
          <w:highlight w:val="none"/>
          <w:u w:val="single"/>
        </w:rPr>
        <w:t>复印件（原件备查）</w:t>
      </w:r>
      <w:r>
        <w:rPr>
          <w:rFonts w:hint="eastAsia" w:ascii="宋体" w:hAnsi="宋体" w:eastAsia="宋体" w:cs="宋体"/>
          <w:i/>
          <w:iCs/>
          <w:color w:val="auto"/>
          <w:szCs w:val="21"/>
          <w:highlight w:val="none"/>
          <w:u w:val="single"/>
        </w:rPr>
        <w:t>；</w:t>
      </w:r>
      <w:r>
        <w:rPr>
          <w:rFonts w:hint="eastAsia" w:ascii="宋体" w:hAnsi="宋体" w:cs="宋体"/>
          <w:i/>
          <w:color w:val="auto"/>
          <w:kern w:val="0"/>
          <w:szCs w:val="21"/>
          <w:highlight w:val="none"/>
          <w:u w:val="single"/>
        </w:rPr>
        <w:t>供应商为本项目授权委托人缴纳的</w:t>
      </w:r>
      <w:r>
        <w:rPr>
          <w:rFonts w:hint="eastAsia" w:ascii="宋体" w:hAnsi="宋体" w:cs="宋体"/>
          <w:b/>
          <w:bCs/>
          <w:i/>
          <w:color w:val="auto"/>
          <w:kern w:val="0"/>
          <w:szCs w:val="21"/>
          <w:highlight w:val="none"/>
          <w:u w:val="single"/>
          <w:lang w:eastAsia="zh-CN"/>
        </w:rPr>
        <w:t>2023年12月-2024年2月</w:t>
      </w:r>
      <w:r>
        <w:rPr>
          <w:rFonts w:hint="eastAsia" w:ascii="宋体" w:hAnsi="宋体" w:cs="宋体"/>
          <w:i/>
          <w:color w:val="auto"/>
          <w:kern w:val="0"/>
          <w:szCs w:val="21"/>
          <w:highlight w:val="none"/>
          <w:u w:val="single"/>
        </w:rPr>
        <w:t>任意一个月的社保证明</w:t>
      </w:r>
      <w:r>
        <w:rPr>
          <w:rFonts w:hint="eastAsia" w:ascii="宋体" w:hAnsi="宋体" w:cs="宋体"/>
          <w:b/>
          <w:bCs/>
          <w:i/>
          <w:color w:val="auto"/>
          <w:kern w:val="0"/>
          <w:szCs w:val="21"/>
          <w:highlight w:val="none"/>
          <w:u w:val="single"/>
        </w:rPr>
        <w:t>(复印件加盖供应商公章)</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1.4营业执照副本</w:t>
      </w:r>
      <w:r>
        <w:rPr>
          <w:rFonts w:hint="eastAsia" w:ascii="宋体" w:hAnsi="宋体" w:eastAsia="宋体" w:cs="宋体"/>
          <w:b/>
          <w:bCs/>
          <w:i/>
          <w:iCs/>
          <w:color w:val="auto"/>
          <w:szCs w:val="21"/>
          <w:highlight w:val="none"/>
          <w:u w:val="single"/>
        </w:rPr>
        <w:t>(复印件加盖投标人公章)</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1.5依法缴纳职工社会保障资金的证明材料</w:t>
      </w:r>
      <w:r>
        <w:rPr>
          <w:rFonts w:hint="eastAsia" w:ascii="宋体" w:hAnsi="宋体" w:eastAsia="宋体" w:cs="宋体"/>
          <w:b/>
          <w:bCs/>
          <w:i/>
          <w:iCs/>
          <w:color w:val="auto"/>
          <w:szCs w:val="21"/>
          <w:highlight w:val="none"/>
          <w:u w:val="single"/>
        </w:rPr>
        <w:t>(复印件加盖投标人公章)</w:t>
      </w:r>
      <w:r>
        <w:rPr>
          <w:rFonts w:hint="eastAsia" w:ascii="宋体" w:hAnsi="宋体" w:eastAsia="宋体" w:cs="宋体"/>
          <w:i/>
          <w:iCs/>
          <w:color w:val="auto"/>
          <w:szCs w:val="21"/>
          <w:highlight w:val="none"/>
          <w:u w:val="single"/>
        </w:rPr>
        <w:t>(税务、银行或社会保险基金管理部门出具的</w:t>
      </w:r>
      <w:r>
        <w:rPr>
          <w:rFonts w:hint="eastAsia" w:ascii="宋体" w:hAnsi="宋体" w:cs="宋体"/>
          <w:i/>
          <w:iCs/>
          <w:color w:val="auto"/>
          <w:szCs w:val="21"/>
          <w:highlight w:val="none"/>
          <w:u w:val="single"/>
          <w:lang w:eastAsia="zh-CN"/>
        </w:rPr>
        <w:t>2023年12月-2024年2月</w:t>
      </w:r>
      <w:r>
        <w:rPr>
          <w:rFonts w:hint="eastAsia" w:ascii="宋体" w:hAnsi="宋体" w:eastAsia="宋体" w:cs="宋体"/>
          <w:i/>
          <w:iCs/>
          <w:color w:val="auto"/>
          <w:szCs w:val="21"/>
          <w:highlight w:val="none"/>
          <w:u w:val="single"/>
        </w:rPr>
        <w:t>任意</w:t>
      </w:r>
      <w:r>
        <w:rPr>
          <w:rFonts w:hint="eastAsia" w:ascii="宋体" w:hAnsi="宋体" w:cs="宋体"/>
          <w:i/>
          <w:color w:val="auto"/>
          <w:kern w:val="0"/>
          <w:szCs w:val="21"/>
          <w:highlight w:val="none"/>
          <w:u w:val="single"/>
        </w:rPr>
        <w:t>一个月</w:t>
      </w:r>
      <w:r>
        <w:rPr>
          <w:rFonts w:hint="eastAsia" w:ascii="宋体" w:hAnsi="宋体" w:eastAsia="宋体" w:cs="宋体"/>
          <w:i/>
          <w:iCs/>
          <w:color w:val="auto"/>
          <w:szCs w:val="21"/>
          <w:highlight w:val="none"/>
          <w:u w:val="single"/>
        </w:rPr>
        <w:t>缴纳职工社会保障资金的缴款凭证或缴款证明)；</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1.6供应商</w:t>
      </w:r>
      <w:r>
        <w:rPr>
          <w:rFonts w:hint="eastAsia" w:ascii="宋体" w:hAnsi="宋体" w:cs="宋体"/>
          <w:i/>
          <w:iCs/>
          <w:color w:val="auto"/>
          <w:szCs w:val="21"/>
          <w:highlight w:val="none"/>
          <w:u w:val="single"/>
          <w:lang w:eastAsia="zh-CN"/>
        </w:rPr>
        <w:t>2023年12月-2024年2月</w:t>
      </w:r>
      <w:r>
        <w:rPr>
          <w:rFonts w:hint="eastAsia" w:ascii="宋体" w:hAnsi="宋体" w:eastAsia="宋体" w:cs="宋体"/>
          <w:i/>
          <w:iCs/>
          <w:color w:val="auto"/>
          <w:szCs w:val="21"/>
          <w:highlight w:val="none"/>
          <w:u w:val="single"/>
        </w:rPr>
        <w:t>任意</w:t>
      </w:r>
      <w:r>
        <w:rPr>
          <w:rFonts w:hint="eastAsia" w:ascii="宋体" w:hAnsi="宋体" w:cs="宋体"/>
          <w:i/>
          <w:color w:val="auto"/>
          <w:kern w:val="0"/>
          <w:szCs w:val="21"/>
          <w:highlight w:val="none"/>
          <w:u w:val="single"/>
        </w:rPr>
        <w:t>一个月</w:t>
      </w:r>
      <w:r>
        <w:rPr>
          <w:rFonts w:hint="eastAsia" w:ascii="宋体" w:hAnsi="宋体" w:eastAsia="宋体" w:cs="宋体"/>
          <w:i/>
          <w:iCs/>
          <w:color w:val="auto"/>
          <w:szCs w:val="21"/>
          <w:highlight w:val="none"/>
          <w:u w:val="single"/>
        </w:rPr>
        <w:t>依法纳税的缴款凭证</w:t>
      </w:r>
      <w:r>
        <w:rPr>
          <w:rFonts w:hint="eastAsia" w:ascii="宋体" w:hAnsi="宋体" w:eastAsia="宋体" w:cs="宋体"/>
          <w:b/>
          <w:bCs/>
          <w:i/>
          <w:iCs/>
          <w:color w:val="auto"/>
          <w:szCs w:val="21"/>
          <w:highlight w:val="none"/>
          <w:u w:val="single"/>
        </w:rPr>
        <w:t>(复印件加盖投标人公章)</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1.7与第（6）条相对应的纳税申报表或经会计师事务所审计的</w:t>
      </w:r>
      <w:r>
        <w:rPr>
          <w:rFonts w:hint="eastAsia" w:ascii="宋体" w:hAnsi="宋体" w:cs="宋体"/>
          <w:i/>
          <w:iCs/>
          <w:color w:val="auto"/>
          <w:szCs w:val="21"/>
          <w:highlight w:val="none"/>
          <w:u w:val="single"/>
          <w:lang w:eastAsia="zh-CN"/>
        </w:rPr>
        <w:t>2022年度或2023年度</w:t>
      </w:r>
      <w:r>
        <w:rPr>
          <w:rFonts w:hint="eastAsia" w:ascii="宋体" w:hAnsi="宋体" w:eastAsia="宋体" w:cs="宋体"/>
          <w:i/>
          <w:iCs/>
          <w:color w:val="auto"/>
          <w:szCs w:val="21"/>
          <w:highlight w:val="none"/>
          <w:u w:val="single"/>
        </w:rPr>
        <w:t>财务报告</w:t>
      </w:r>
      <w:r>
        <w:rPr>
          <w:rFonts w:hint="eastAsia" w:ascii="宋体" w:hAnsi="宋体" w:eastAsia="宋体" w:cs="宋体"/>
          <w:b/>
          <w:bCs/>
          <w:i/>
          <w:iCs/>
          <w:color w:val="auto"/>
          <w:szCs w:val="21"/>
          <w:highlight w:val="none"/>
          <w:u w:val="single"/>
        </w:rPr>
        <w:t>(复印件加盖供应商公章)</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1.8供应商参加本次政府采购活动前3年内在经营活动中没有重大违法记录的书面声明</w:t>
      </w:r>
      <w:r>
        <w:rPr>
          <w:rFonts w:hint="eastAsia" w:ascii="宋体" w:hAnsi="宋体" w:eastAsia="宋体" w:cs="宋体"/>
          <w:b/>
          <w:bCs/>
          <w:i/>
          <w:iCs/>
          <w:color w:val="auto"/>
          <w:szCs w:val="21"/>
          <w:highlight w:val="none"/>
          <w:u w:val="single"/>
        </w:rPr>
        <w:t>（原件）</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1.9供应商信用承诺书</w:t>
      </w:r>
      <w:r>
        <w:rPr>
          <w:rFonts w:hint="eastAsia" w:ascii="宋体" w:hAnsi="宋体" w:eastAsia="宋体" w:cs="宋体"/>
          <w:b/>
          <w:bCs/>
          <w:i/>
          <w:iCs/>
          <w:color w:val="auto"/>
          <w:szCs w:val="21"/>
          <w:highlight w:val="none"/>
          <w:u w:val="single"/>
        </w:rPr>
        <w:t>（原件）</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1.10供应商</w:t>
      </w:r>
      <w:r>
        <w:rPr>
          <w:rFonts w:ascii="宋体" w:hAnsi="宋体"/>
          <w:i/>
          <w:color w:val="auto"/>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szCs w:val="21"/>
          <w:highlight w:val="none"/>
          <w:u w:val="single"/>
          <w:lang w:val="en"/>
        </w:rPr>
        <w:t>（提供网页查询截图并加盖供应商公章，查询时间为自公告发布至开标截止时间前任意时间）</w:t>
      </w:r>
      <w:r>
        <w:rPr>
          <w:rFonts w:hint="eastAsia" w:ascii="宋体" w:hAnsi="宋体" w:eastAsia="宋体" w:cs="宋体"/>
          <w:i/>
          <w:iCs/>
          <w:color w:val="auto"/>
          <w:szCs w:val="21"/>
          <w:highlight w:val="none"/>
          <w:u w:val="single"/>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color w:val="auto"/>
          <w:szCs w:val="21"/>
          <w:highlight w:val="none"/>
        </w:rPr>
        <w:t>2.落实政府采购政策需满足的资格要求：/</w:t>
      </w:r>
    </w:p>
    <w:p>
      <w:pPr>
        <w:adjustRightInd w:val="0"/>
        <w:snapToGrid w:val="0"/>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3.本项目的特定资格要求：</w:t>
      </w:r>
      <w:r>
        <w:rPr>
          <w:rFonts w:hint="eastAsia" w:ascii="宋体" w:hAnsi="宋体" w:cs="宋体"/>
          <w:i/>
          <w:color w:val="auto"/>
          <w:kern w:val="0"/>
          <w:szCs w:val="21"/>
          <w:highlight w:val="none"/>
          <w:u w:val="single"/>
          <w:lang w:val="en-US" w:eastAsia="zh-CN"/>
        </w:rPr>
        <w:t>/</w:t>
      </w:r>
    </w:p>
    <w:p>
      <w:pPr>
        <w:spacing w:line="360" w:lineRule="auto"/>
        <w:ind w:firstLine="420" w:firstLineChars="200"/>
        <w:rPr>
          <w:rFonts w:hint="eastAsia" w:ascii="宋体" w:hAnsi="宋体" w:eastAsia="宋体" w:cs="宋体"/>
          <w:color w:val="auto"/>
          <w:szCs w:val="21"/>
          <w:highlight w:val="none"/>
        </w:rPr>
      </w:pPr>
      <w:bookmarkStart w:id="15" w:name="_Toc35393623"/>
      <w:bookmarkStart w:id="16" w:name="_Toc35393792"/>
      <w:r>
        <w:rPr>
          <w:rFonts w:hint="eastAsia" w:ascii="宋体" w:hAnsi="宋体" w:eastAsia="宋体" w:cs="宋体"/>
          <w:color w:val="auto"/>
          <w:szCs w:val="21"/>
          <w:highlight w:val="none"/>
        </w:rPr>
        <w:t>三、获取招标文件</w:t>
      </w:r>
      <w:bookmarkEnd w:id="13"/>
      <w:bookmarkEnd w:id="14"/>
      <w:bookmarkEnd w:id="15"/>
      <w:bookmarkEnd w:id="16"/>
    </w:p>
    <w:p>
      <w:pPr>
        <w:spacing w:line="360" w:lineRule="auto"/>
        <w:ind w:firstLine="420" w:firstLineChars="200"/>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日（北京时间，法定节假日除外）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扬州维扬发展投资有限公司网站、江苏省招标投标公共服务平台</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方式：投标供应商如确定参加投标，请在202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日17：30前如实填写《供应商参加投标确认函》，并</w:t>
      </w:r>
      <w:r>
        <w:rPr>
          <w:rFonts w:hint="eastAsia" w:ascii="宋体" w:hAnsi="宋体" w:eastAsia="宋体" w:cs="宋体"/>
          <w:color w:val="auto"/>
          <w:kern w:val="0"/>
          <w:szCs w:val="21"/>
          <w:highlight w:val="none"/>
        </w:rPr>
        <w:t>将加盖投标人公章的《供应商参加投标确认函》的图片或扫描件发送至采购代理机构经办人</w:t>
      </w:r>
      <w:r>
        <w:rPr>
          <w:rFonts w:hint="eastAsia" w:ascii="宋体" w:hAnsi="宋体" w:eastAsia="宋体" w:cs="宋体"/>
          <w:color w:val="auto"/>
          <w:szCs w:val="21"/>
          <w:highlight w:val="none"/>
        </w:rPr>
        <w:t>电子邮箱（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"mailto:1274847791@qq.com" </w:instrText>
      </w:r>
      <w:r>
        <w:rPr>
          <w:rFonts w:hint="eastAsia" w:ascii="宋体" w:hAnsi="宋体" w:eastAsia="宋体" w:cs="宋体"/>
          <w:color w:val="auto"/>
          <w:highlight w:val="none"/>
        </w:rPr>
        <w:fldChar w:fldCharType="separate"/>
      </w:r>
      <w:r>
        <w:rPr>
          <w:rStyle w:val="49"/>
          <w:rFonts w:hint="eastAsia" w:ascii="宋体" w:hAnsi="宋体" w:eastAsia="宋体" w:cs="宋体"/>
          <w:color w:val="auto"/>
          <w:kern w:val="0"/>
          <w:highlight w:val="none"/>
          <w:lang w:eastAsia="zh-CN"/>
        </w:rPr>
        <w:t>785419524</w:t>
      </w:r>
      <w:r>
        <w:rPr>
          <w:rStyle w:val="49"/>
          <w:rFonts w:hint="eastAsia" w:ascii="宋体" w:hAnsi="宋体" w:eastAsia="宋体" w:cs="宋体"/>
          <w:color w:val="auto"/>
          <w:kern w:val="0"/>
          <w:highlight w:val="none"/>
        </w:rPr>
        <w:t>@qq.com</w:t>
      </w:r>
      <w:r>
        <w:rPr>
          <w:rStyle w:val="49"/>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0514-80820678</w:t>
      </w:r>
      <w:r>
        <w:rPr>
          <w:rFonts w:hint="eastAsia" w:ascii="宋体" w:hAnsi="宋体" w:eastAsia="宋体" w:cs="宋体"/>
          <w:color w:val="auto"/>
          <w:szCs w:val="21"/>
          <w:highlight w:val="none"/>
        </w:rPr>
        <w:t>）。</w:t>
      </w:r>
      <w:r>
        <w:rPr>
          <w:rFonts w:hint="eastAsia" w:ascii="宋体" w:hAnsi="宋体"/>
          <w:color w:val="auto"/>
          <w:szCs w:val="21"/>
          <w:highlight w:val="none"/>
        </w:rPr>
        <w:t>同时需与采购代理机构经办人确认是否收到《</w:t>
      </w:r>
      <w:r>
        <w:rPr>
          <w:rFonts w:hint="eastAsia" w:ascii="宋体" w:hAnsi="宋体"/>
          <w:color w:val="auto"/>
          <w:szCs w:val="21"/>
          <w:highlight w:val="none"/>
          <w:lang w:eastAsia="zh-CN"/>
        </w:rPr>
        <w:t>供应商参加投标确认函</w:t>
      </w:r>
      <w:r>
        <w:rPr>
          <w:rFonts w:hint="eastAsia" w:ascii="宋体" w:hAnsi="宋体"/>
          <w:color w:val="auto"/>
          <w:szCs w:val="21"/>
          <w:highlight w:val="none"/>
        </w:rPr>
        <w:t>》</w:t>
      </w:r>
      <w:r>
        <w:rPr>
          <w:rFonts w:hint="eastAsia" w:ascii="宋体" w:hAnsi="宋体" w:cs="宋体"/>
          <w:bCs/>
          <w:color w:val="auto"/>
          <w:kern w:val="0"/>
          <w:szCs w:val="21"/>
          <w:highlight w:val="none"/>
        </w:rPr>
        <w:t>。如供应商未按上述要求去做，将自行承担所产生的风险。</w:t>
      </w:r>
      <w:r>
        <w:rPr>
          <w:rFonts w:hint="eastAsia" w:ascii="宋体" w:hAnsi="宋体"/>
          <w:color w:val="auto"/>
          <w:szCs w:val="21"/>
          <w:highlight w:val="none"/>
        </w:rPr>
        <w:t>未报名（提交确认函）者、超过时限者不得前来投标，内容不全者后果自负</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四、提交投标文件</w:t>
      </w:r>
      <w:bookmarkEnd w:id="17"/>
      <w:bookmarkEnd w:id="18"/>
      <w:r>
        <w:rPr>
          <w:rFonts w:hint="eastAsia" w:ascii="宋体" w:hAnsi="宋体" w:eastAsia="宋体" w:cs="宋体"/>
          <w:color w:val="auto"/>
          <w:szCs w:val="21"/>
          <w:highlight w:val="none"/>
        </w:rPr>
        <w:t>截止时间、开标时间和地点</w:t>
      </w:r>
      <w:bookmarkEnd w:id="19"/>
      <w:bookmarkEnd w:id="2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2024年04月08日09点30分</w:t>
      </w:r>
      <w:r>
        <w:rPr>
          <w:rFonts w:hint="eastAsia" w:ascii="宋体" w:hAnsi="宋体" w:eastAsia="宋体" w:cs="宋体"/>
          <w:color w:val="auto"/>
          <w:szCs w:val="21"/>
          <w:highlight w:val="none"/>
        </w:rPr>
        <w:t>（北京时间）；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2024年04月08日09点30分</w:t>
      </w:r>
      <w:r>
        <w:rPr>
          <w:rFonts w:hint="eastAsia" w:ascii="宋体" w:hAnsi="宋体" w:eastAsia="宋体" w:cs="宋体"/>
          <w:color w:val="auto"/>
          <w:szCs w:val="21"/>
          <w:highlight w:val="none"/>
        </w:rPr>
        <w:t>（北京时间）；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21" w:name="_Toc28359084"/>
      <w:bookmarkStart w:id="22" w:name="_Toc28359007"/>
      <w:bookmarkStart w:id="23" w:name="_Toc35393625"/>
      <w:bookmarkStart w:id="24" w:name="_Toc35393794"/>
      <w:r>
        <w:rPr>
          <w:rFonts w:hint="eastAsia" w:ascii="宋体" w:hAnsi="宋体" w:eastAsia="宋体" w:cs="宋体"/>
          <w:color w:val="auto"/>
          <w:szCs w:val="21"/>
          <w:highlight w:val="none"/>
          <w:lang w:eastAsia="zh-CN"/>
        </w:rPr>
        <w:t>江苏志诚工程咨询管理有限公司</w:t>
      </w:r>
      <w:r>
        <w:rPr>
          <w:rFonts w:hint="eastAsia" w:ascii="宋体" w:hAnsi="宋体" w:eastAsia="宋体" w:cs="宋体"/>
          <w:color w:val="auto"/>
          <w:szCs w:val="21"/>
          <w:highlight w:val="none"/>
        </w:rPr>
        <w:t>开标室（</w:t>
      </w:r>
      <w:r>
        <w:rPr>
          <w:rFonts w:hint="eastAsia" w:ascii="宋体" w:hAnsi="宋体" w:eastAsia="宋体" w:cs="宋体"/>
          <w:color w:val="auto"/>
          <w:szCs w:val="21"/>
          <w:highlight w:val="none"/>
          <w:lang w:eastAsia="zh-CN"/>
        </w:rPr>
        <w:t>扬州市邗江区文昌西路305号金都汇商务楼3楼</w:t>
      </w:r>
      <w:r>
        <w:rPr>
          <w:rFonts w:hint="eastAsia" w:ascii="宋体" w:hAnsi="宋体" w:eastAsia="宋体" w:cs="宋体"/>
          <w:color w:val="auto"/>
          <w:szCs w:val="21"/>
          <w:highlight w:val="none"/>
        </w:rPr>
        <w:t>）。</w:t>
      </w:r>
    </w:p>
    <w:bookmarkEnd w:id="21"/>
    <w:bookmarkEnd w:id="22"/>
    <w:bookmarkEnd w:id="23"/>
    <w:bookmarkEnd w:id="24"/>
    <w:p>
      <w:pPr>
        <w:spacing w:line="360" w:lineRule="auto"/>
        <w:ind w:firstLine="420" w:firstLineChars="200"/>
        <w:rPr>
          <w:rFonts w:hint="eastAsia" w:ascii="宋体" w:hAnsi="宋体" w:eastAsia="宋体" w:cs="宋体"/>
          <w:color w:val="auto"/>
          <w:szCs w:val="21"/>
          <w:highlight w:val="none"/>
        </w:rPr>
      </w:pPr>
      <w:bookmarkStart w:id="25" w:name="_Toc35393627"/>
      <w:bookmarkStart w:id="26" w:name="_Toc28359085"/>
      <w:bookmarkStart w:id="27" w:name="_Toc35393796"/>
      <w:bookmarkStart w:id="28" w:name="_Toc28359008"/>
      <w:r>
        <w:rPr>
          <w:rFonts w:hint="eastAsia" w:ascii="宋体" w:hAnsi="宋体" w:eastAsia="宋体" w:cs="宋体"/>
          <w:color w:val="auto"/>
          <w:szCs w:val="21"/>
          <w:highlight w:val="none"/>
        </w:rPr>
        <w:t>五、公告期限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pPr>
        <w:numPr>
          <w:ilvl w:val="0"/>
          <w:numId w:val="6"/>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其他补充事宜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1、拒绝下述供应商参加本次采购活动：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（2）凡为采购项目提供整体设计、规范编制或者项目管理、监理、检测、代理等服务的供应商，不得再参加该项目的其他采购活动。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2、有关本次招标的事项若存在变动或修改，敬请及时关注“</w:t>
      </w:r>
      <w:r>
        <w:rPr>
          <w:rFonts w:hint="eastAsia" w:ascii="宋体" w:hAnsi="宋体" w:eastAsia="宋体" w:cs="宋体"/>
          <w:color w:val="auto"/>
          <w:highlight w:val="none"/>
          <w:lang w:eastAsia="zh-CN"/>
        </w:rPr>
        <w:t>扬州维扬发展投资有限公司网站、江苏省招标投标公共服务平台</w:t>
      </w:r>
      <w:r>
        <w:rPr>
          <w:rFonts w:hint="eastAsia" w:ascii="宋体" w:hAnsi="宋体" w:eastAsia="宋体" w:cs="宋体"/>
          <w:color w:val="auto"/>
          <w:szCs w:val="21"/>
          <w:highlight w:val="none"/>
        </w:rPr>
        <w:t>”的信息或更正公告。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一式伍份（一份正本，肆份副本)，每份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4、本次投标保证金要求：本项目免收投标保证金。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5、潜在供应商对采购文件项目需求部分的询问、质疑请向采购人提出，由采购人负责答复。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i/>
          <w:iCs/>
          <w:color w:val="auto"/>
          <w:szCs w:val="21"/>
          <w:highlight w:val="none"/>
          <w:u w:val="single"/>
        </w:rPr>
        <w:t>本项目采购文件中所有斜体下划线部分为实质性条款，如不满足，则为无效投标。</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七、对本次招标提出询问，请按以下方式联系。</w:t>
      </w:r>
    </w:p>
    <w:bookmarkEnd w:id="25"/>
    <w:bookmarkEnd w:id="26"/>
    <w:bookmarkEnd w:id="27"/>
    <w:bookmarkEnd w:id="28"/>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630" w:firstLineChars="300"/>
        <w:rPr>
          <w:rFonts w:hint="eastAsia" w:ascii="宋体" w:hAnsi="宋体" w:eastAsia="宋体" w:cs="宋体"/>
          <w:color w:val="auto"/>
          <w:szCs w:val="21"/>
          <w:highlight w:val="none"/>
        </w:rPr>
      </w:pPr>
      <w:bookmarkStart w:id="29" w:name="_Toc35393638"/>
      <w:bookmarkStart w:id="30" w:name="_Toc35393807"/>
      <w:bookmarkStart w:id="31" w:name="_Toc28359097"/>
      <w:bookmarkStart w:id="32" w:name="_Toc28359020"/>
      <w:bookmarkStart w:id="33" w:name="_Toc497133091"/>
      <w:r>
        <w:rPr>
          <w:rFonts w:hint="eastAsia" w:ascii="宋体" w:hAnsi="宋体" w:eastAsia="宋体" w:cs="宋体"/>
          <w:color w:val="auto"/>
          <w:szCs w:val="21"/>
          <w:highlight w:val="none"/>
        </w:rPr>
        <w:t>采购人：扬州锦佑置业有限公司</w:t>
      </w:r>
    </w:p>
    <w:bookmarkEnd w:id="29"/>
    <w:bookmarkEnd w:id="30"/>
    <w:bookmarkEnd w:id="31"/>
    <w:bookmarkEnd w:id="32"/>
    <w:bookmarkEnd w:id="33"/>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江苏志诚工程咨询管理有限公司</w:t>
      </w:r>
      <w:r>
        <w:rPr>
          <w:rFonts w:hint="eastAsia" w:ascii="宋体" w:hAnsi="宋体" w:eastAsia="宋体" w:cs="宋体"/>
          <w:color w:val="auto"/>
          <w:szCs w:val="21"/>
          <w:highlight w:val="none"/>
        </w:rPr>
        <w:t xml:space="preserve">  </w:t>
      </w:r>
    </w:p>
    <w:p>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扬州市邗江区文昌西路305号金都汇商务楼3楼</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eastAsia="zh-CN"/>
        </w:rPr>
        <w:t>耿工</w:t>
      </w:r>
      <w:r>
        <w:rPr>
          <w:rFonts w:hint="eastAsia" w:ascii="宋体" w:hAnsi="宋体" w:eastAsia="宋体" w:cs="宋体"/>
          <w:color w:val="auto"/>
          <w:szCs w:val="21"/>
          <w:highlight w:val="none"/>
        </w:rPr>
        <w:t xml:space="preserve">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0514-80820678</w:t>
      </w:r>
      <w:bookmarkStart w:id="34" w:name="_Toc28359098"/>
      <w:bookmarkStart w:id="35" w:name="_Toc87643907"/>
      <w:bookmarkStart w:id="36" w:name="_Toc35393639"/>
      <w:bookmarkStart w:id="37" w:name="_Toc35393808"/>
      <w:bookmarkStart w:id="38" w:name="_Toc2835902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项目联系方式</w:t>
      </w:r>
      <w:bookmarkEnd w:id="34"/>
      <w:bookmarkEnd w:id="35"/>
      <w:bookmarkEnd w:id="36"/>
      <w:bookmarkEnd w:id="37"/>
      <w:bookmarkEnd w:id="38"/>
    </w:p>
    <w:p>
      <w:pPr>
        <w:spacing w:line="360" w:lineRule="auto"/>
        <w:ind w:firstLine="630" w:firstLineChars="300"/>
        <w:rPr>
          <w:rFonts w:hint="eastAsia" w:ascii="宋体" w:hAnsi="宋体" w:eastAsia="宋体" w:cs="宋体"/>
          <w:color w:val="auto"/>
          <w:szCs w:val="21"/>
          <w:highlight w:val="none"/>
        </w:rPr>
      </w:pPr>
      <w:bookmarkStart w:id="39" w:name="_Toc87643908"/>
      <w:r>
        <w:rPr>
          <w:rFonts w:hint="eastAsia" w:ascii="宋体" w:hAnsi="宋体" w:eastAsia="宋体" w:cs="宋体"/>
          <w:color w:val="auto"/>
          <w:szCs w:val="21"/>
          <w:highlight w:val="none"/>
        </w:rPr>
        <w:t>项目联系人：</w:t>
      </w:r>
      <w:bookmarkEnd w:id="39"/>
      <w:r>
        <w:rPr>
          <w:rFonts w:hint="eastAsia" w:ascii="宋体" w:hAnsi="宋体" w:eastAsia="宋体" w:cs="宋体"/>
          <w:color w:val="auto"/>
          <w:szCs w:val="21"/>
          <w:highlight w:val="none"/>
          <w:lang w:eastAsia="zh-CN"/>
        </w:rPr>
        <w:t>耿工</w:t>
      </w:r>
      <w:r>
        <w:rPr>
          <w:rFonts w:hint="eastAsia" w:ascii="宋体" w:hAnsi="宋体" w:eastAsia="宋体" w:cs="宋体"/>
          <w:color w:val="auto"/>
          <w:szCs w:val="21"/>
          <w:highlight w:val="none"/>
        </w:rPr>
        <w:t xml:space="preserve"> </w:t>
      </w:r>
    </w:p>
    <w:p>
      <w:pPr>
        <w:spacing w:line="360" w:lineRule="auto"/>
        <w:ind w:firstLine="630" w:firstLineChars="3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0514-80820678</w:t>
      </w:r>
    </w:p>
    <w:p>
      <w:pPr>
        <w:spacing w:line="360" w:lineRule="auto"/>
        <w:ind w:firstLine="420" w:firstLineChars="200"/>
        <w:jc w:val="right"/>
        <w:rPr>
          <w:rFonts w:hint="eastAsia" w:ascii="宋体" w:hAnsi="宋体" w:eastAsia="宋体" w:cs="宋体"/>
          <w:color w:val="auto"/>
          <w:szCs w:val="21"/>
          <w:highlight w:val="none"/>
          <w:lang w:eastAsia="zh-CN"/>
        </w:rPr>
      </w:pPr>
    </w:p>
    <w:p>
      <w:pPr>
        <w:spacing w:line="360" w:lineRule="auto"/>
        <w:ind w:firstLine="420" w:firstLineChars="200"/>
        <w:jc w:val="right"/>
        <w:rPr>
          <w:rFonts w:hint="eastAsia" w:ascii="宋体" w:hAnsi="宋体" w:eastAsia="宋体" w:cs="宋体"/>
          <w:color w:val="auto"/>
          <w:szCs w:val="21"/>
          <w:highlight w:val="none"/>
          <w:lang w:eastAsia="zh-CN"/>
        </w:rPr>
      </w:pP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江苏志诚工程咨询管理有限公司</w:t>
      </w:r>
    </w:p>
    <w:p>
      <w:pPr>
        <w:pStyle w:val="2"/>
        <w:spacing w:before="0" w:after="0" w:line="360" w:lineRule="auto"/>
        <w:ind w:firstLine="42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日</w:t>
      </w:r>
    </w:p>
    <w:p>
      <w:pPr>
        <w:rPr>
          <w:rFonts w:hint="eastAsia" w:ascii="宋体" w:hAnsi="宋体" w:eastAsia="宋体" w:cs="宋体"/>
          <w:color w:val="auto"/>
          <w:sz w:val="36"/>
          <w:highlight w:val="none"/>
        </w:rPr>
      </w:pPr>
      <w:bookmarkStart w:id="40" w:name="_Toc5818"/>
      <w:bookmarkStart w:id="41" w:name="_Toc23237"/>
      <w:bookmarkStart w:id="42" w:name="_Toc20823309"/>
      <w:bookmarkStart w:id="43" w:name="_Toc16938553"/>
      <w:bookmarkStart w:id="44" w:name="_Toc513029237"/>
      <w:r>
        <w:rPr>
          <w:rFonts w:hint="eastAsia" w:ascii="宋体" w:hAnsi="宋体" w:eastAsia="宋体" w:cs="宋体"/>
          <w:color w:val="auto"/>
          <w:sz w:val="36"/>
          <w:highlight w:val="none"/>
        </w:rPr>
        <w:br w:type="page"/>
      </w:r>
    </w:p>
    <w:p>
      <w:pPr>
        <w:pStyle w:val="10"/>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highlight w:val="none"/>
        </w:rPr>
      </w:pPr>
      <w:r>
        <w:rPr>
          <w:rFonts w:hint="eastAsia" w:ascii="宋体" w:hAnsi="宋体" w:eastAsia="宋体" w:cs="宋体"/>
          <w:color w:val="auto"/>
          <w:sz w:val="36"/>
          <w:highlight w:val="none"/>
        </w:rPr>
        <w:t>第二章 投标人须知</w:t>
      </w:r>
      <w:bookmarkEnd w:id="40"/>
      <w:bookmarkEnd w:id="41"/>
    </w:p>
    <w:p>
      <w:pPr>
        <w:spacing w:line="360" w:lineRule="auto"/>
        <w:ind w:firstLine="422" w:firstLineChars="200"/>
        <w:rPr>
          <w:rFonts w:hint="eastAsia" w:ascii="宋体" w:hAnsi="宋体" w:eastAsia="宋体" w:cs="宋体"/>
          <w:b/>
          <w:color w:val="auto"/>
          <w:szCs w:val="21"/>
          <w:highlight w:val="none"/>
        </w:rPr>
      </w:pPr>
      <w:bookmarkStart w:id="45" w:name="_Toc20823276"/>
      <w:bookmarkStart w:id="46" w:name="_Toc16938520"/>
      <w:bookmarkStart w:id="47" w:name="_Toc513029204"/>
      <w:r>
        <w:rPr>
          <w:rFonts w:hint="eastAsia" w:ascii="宋体" w:hAnsi="宋体" w:eastAsia="宋体" w:cs="宋体"/>
          <w:b/>
          <w:color w:val="auto"/>
          <w:szCs w:val="21"/>
          <w:highlight w:val="none"/>
        </w:rPr>
        <w:t>1、招标方式</w:t>
      </w:r>
      <w:bookmarkEnd w:id="45"/>
      <w:bookmarkEnd w:id="46"/>
      <w:bookmarkEnd w:id="4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r>
        <w:rPr>
          <w:rStyle w:val="69"/>
          <w:rFonts w:hint="eastAsia" w:ascii="宋体" w:hAnsi="宋体" w:eastAsia="宋体" w:cs="宋体"/>
          <w:color w:val="auto"/>
          <w:highlight w:val="none"/>
        </w:rPr>
        <w:t>本次招标采取公开招标方式，本招标文件仅适用于</w:t>
      </w:r>
      <w:r>
        <w:rPr>
          <w:rStyle w:val="69"/>
          <w:rFonts w:hint="eastAsia" w:ascii="宋体" w:hAnsi="宋体" w:cs="宋体"/>
          <w:color w:val="auto"/>
          <w:highlight w:val="none"/>
          <w:lang w:val="en-US" w:eastAsia="zh-CN"/>
        </w:rPr>
        <w:t>JSZCZC2024012</w:t>
      </w:r>
      <w:r>
        <w:rPr>
          <w:rFonts w:hint="eastAsia" w:ascii="宋体" w:hAnsi="宋体" w:eastAsia="宋体" w:cs="宋体"/>
          <w:color w:val="auto"/>
          <w:szCs w:val="21"/>
          <w:highlight w:val="none"/>
        </w:rPr>
        <w:t>号项目。</w:t>
      </w:r>
    </w:p>
    <w:p>
      <w:pPr>
        <w:spacing w:line="360" w:lineRule="auto"/>
        <w:ind w:firstLine="422" w:firstLineChars="200"/>
        <w:rPr>
          <w:rFonts w:hint="eastAsia" w:ascii="宋体" w:hAnsi="宋体" w:eastAsia="宋体" w:cs="宋体"/>
          <w:b/>
          <w:color w:val="auto"/>
          <w:szCs w:val="21"/>
          <w:highlight w:val="none"/>
        </w:rPr>
      </w:pPr>
      <w:bookmarkStart w:id="48" w:name="_Toc20823277"/>
      <w:bookmarkStart w:id="49" w:name="_Toc16938521"/>
      <w:bookmarkStart w:id="50" w:name="_Toc513029205"/>
      <w:r>
        <w:rPr>
          <w:rFonts w:hint="eastAsia" w:ascii="宋体" w:hAnsi="宋体" w:eastAsia="宋体" w:cs="宋体"/>
          <w:b/>
          <w:color w:val="auto"/>
          <w:szCs w:val="21"/>
          <w:highlight w:val="none"/>
        </w:rPr>
        <w:t>2、投标人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本招标文件中“供应商”，即“投标人”，是指参加投标竞争，并符合招标文件规定资格条件的法人、其他组织或者自然人。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2.2合格的投标人</w:t>
      </w:r>
      <w:bookmarkEnd w:id="48"/>
      <w:bookmarkEnd w:id="49"/>
      <w:bookmarkEnd w:id="5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满足投标邀请中供应商的资格条件要求的规定。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满足本文件实质性条款的规定。</w:t>
      </w:r>
    </w:p>
    <w:p>
      <w:pPr>
        <w:spacing w:line="360" w:lineRule="auto"/>
        <w:ind w:firstLine="422" w:firstLineChars="200"/>
        <w:rPr>
          <w:rFonts w:hint="eastAsia" w:ascii="宋体" w:hAnsi="宋体" w:eastAsia="宋体" w:cs="宋体"/>
          <w:b/>
          <w:color w:val="auto"/>
          <w:szCs w:val="21"/>
          <w:highlight w:val="none"/>
        </w:rPr>
      </w:pPr>
      <w:bookmarkStart w:id="51" w:name="_Toc20823278"/>
      <w:bookmarkStart w:id="52" w:name="_Toc16938522"/>
      <w:bookmarkStart w:id="53" w:name="_Toc513029206"/>
      <w:r>
        <w:rPr>
          <w:rFonts w:hint="eastAsia" w:ascii="宋体" w:hAnsi="宋体" w:eastAsia="宋体" w:cs="宋体"/>
          <w:b/>
          <w:color w:val="auto"/>
          <w:szCs w:val="21"/>
          <w:highlight w:val="none"/>
        </w:rPr>
        <w:t>3、适用法律</w:t>
      </w:r>
      <w:bookmarkEnd w:id="51"/>
      <w:bookmarkEnd w:id="52"/>
      <w:bookmarkEnd w:id="53"/>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 本次招标及由此产生的合同受中华人民共和国有关的法律法规制约和保护。</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4.1</w:t>
      </w:r>
      <w:r>
        <w:rPr>
          <w:rFonts w:hint="eastAsia" w:ascii="宋体" w:hAnsi="宋体" w:eastAsia="宋体" w:cs="宋体"/>
          <w:color w:val="auto"/>
          <w:szCs w:val="21"/>
          <w:highlight w:val="none"/>
        </w:rPr>
        <w:t xml:space="preserve"> 投标人应自行承担所有与参加投标有关的费用，无论投标过程中的做法和结果如何，代理机构在任何情况下均无义务和责任承担这些费用。</w:t>
      </w:r>
    </w:p>
    <w:p>
      <w:pPr>
        <w:tabs>
          <w:tab w:val="left" w:pos="900"/>
        </w:tabs>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4.2本次采购由</w:t>
      </w:r>
      <w:r>
        <w:rPr>
          <w:rFonts w:hint="eastAsia" w:ascii="宋体" w:hAnsi="宋体" w:eastAsia="宋体" w:cs="宋体"/>
          <w:bCs/>
          <w:color w:val="auto"/>
          <w:szCs w:val="21"/>
          <w:highlight w:val="none"/>
          <w:lang w:val="en-US" w:eastAsia="zh-CN"/>
        </w:rPr>
        <w:t>中标</w:t>
      </w:r>
      <w:r>
        <w:rPr>
          <w:rFonts w:hint="eastAsia" w:ascii="宋体" w:hAnsi="宋体" w:eastAsia="宋体" w:cs="宋体"/>
          <w:bCs/>
          <w:color w:val="auto"/>
          <w:szCs w:val="21"/>
          <w:highlight w:val="none"/>
        </w:rPr>
        <w:t>人在领取</w:t>
      </w:r>
      <w:r>
        <w:rPr>
          <w:rFonts w:hint="eastAsia" w:ascii="宋体" w:hAnsi="宋体" w:eastAsia="宋体" w:cs="宋体"/>
          <w:bCs/>
          <w:color w:val="auto"/>
          <w:szCs w:val="21"/>
          <w:highlight w:val="none"/>
          <w:lang w:val="en-US" w:eastAsia="zh-CN"/>
        </w:rPr>
        <w:t>中标</w:t>
      </w:r>
      <w:r>
        <w:rPr>
          <w:rFonts w:hint="eastAsia" w:ascii="宋体" w:hAnsi="宋体" w:eastAsia="宋体" w:cs="宋体"/>
          <w:bCs/>
          <w:color w:val="auto"/>
          <w:szCs w:val="21"/>
          <w:highlight w:val="none"/>
        </w:rPr>
        <w:t>通知书前一次性支付给招标代理机构专家评审费（专家评审费暂按 500 元/人次计取，按实结算（不提供发票）。专家评审费以现金形式支付，专家评审费不在报价中单列，由</w:t>
      </w:r>
      <w:r>
        <w:rPr>
          <w:rFonts w:hint="eastAsia" w:ascii="宋体" w:hAnsi="宋体" w:eastAsia="宋体" w:cs="宋体"/>
          <w:bCs/>
          <w:color w:val="auto"/>
          <w:szCs w:val="21"/>
          <w:highlight w:val="none"/>
          <w:lang w:val="en-US" w:eastAsia="zh-CN"/>
        </w:rPr>
        <w:t>中标</w:t>
      </w:r>
      <w:r>
        <w:rPr>
          <w:rFonts w:hint="eastAsia" w:ascii="宋体" w:hAnsi="宋体" w:eastAsia="宋体" w:cs="宋体"/>
          <w:bCs/>
          <w:color w:val="auto"/>
          <w:szCs w:val="21"/>
          <w:highlight w:val="none"/>
        </w:rPr>
        <w:t>人支付给代理机构。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5、招标文件的约束力</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w:t>
      </w:r>
      <w:r>
        <w:rPr>
          <w:rFonts w:hint="eastAsia" w:ascii="宋体" w:hAnsi="宋体" w:eastAsia="宋体" w:cs="宋体"/>
          <w:color w:val="auto"/>
          <w:szCs w:val="21"/>
          <w:highlight w:val="none"/>
        </w:rPr>
        <w:t xml:space="preserve"> 投标人一旦参加本项目采购活动，即被认为接受了本招标文件的规定和约束。</w:t>
      </w:r>
    </w:p>
    <w:p>
      <w:pPr>
        <w:spacing w:line="360" w:lineRule="auto"/>
        <w:ind w:firstLine="422" w:firstLineChars="200"/>
        <w:rPr>
          <w:rFonts w:hint="eastAsia" w:ascii="宋体" w:hAnsi="宋体" w:eastAsia="宋体" w:cs="宋体"/>
          <w:b/>
          <w:color w:val="auto"/>
          <w:szCs w:val="21"/>
          <w:highlight w:val="none"/>
        </w:rPr>
      </w:pPr>
      <w:bookmarkStart w:id="54" w:name="_Toc16938526"/>
      <w:bookmarkStart w:id="55" w:name="_Toc20823282"/>
      <w:bookmarkStart w:id="56" w:name="_Toc513029210"/>
      <w:r>
        <w:rPr>
          <w:rFonts w:hint="eastAsia" w:ascii="宋体" w:hAnsi="宋体" w:eastAsia="宋体" w:cs="宋体"/>
          <w:b/>
          <w:color w:val="auto"/>
          <w:szCs w:val="21"/>
          <w:highlight w:val="none"/>
        </w:rPr>
        <w:t>6、招标文件构成</w:t>
      </w:r>
      <w:bookmarkEnd w:id="54"/>
      <w:bookmarkEnd w:id="55"/>
      <w:bookmarkEnd w:id="5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6.1</w:t>
      </w:r>
      <w:r>
        <w:rPr>
          <w:rFonts w:hint="eastAsia" w:ascii="宋体" w:hAnsi="宋体" w:eastAsia="宋体" w:cs="宋体"/>
          <w:color w:val="auto"/>
          <w:szCs w:val="21"/>
          <w:highlight w:val="none"/>
        </w:rPr>
        <w:t xml:space="preserve"> 招标文件有以下部分组成：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（3）合同条款及格式；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（4）项目需求；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（5）评标方法与评标标准；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请仔细检查招标文件是否齐全，如有缺漏请立即与代理机构联系解决。</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6.3 招标文件如果要求供应商提交备选投标方案的，供应商可以提交备选方案；否则，备选方案将被拒绝。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6.4</w:t>
      </w:r>
      <w:r>
        <w:rPr>
          <w:rFonts w:hint="eastAsia" w:ascii="宋体" w:hAnsi="宋体" w:eastAsia="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hint="eastAsia" w:ascii="宋体" w:hAnsi="宋体" w:eastAsia="宋体" w:cs="宋体"/>
          <w:b/>
          <w:color w:val="auto"/>
          <w:szCs w:val="21"/>
          <w:highlight w:val="none"/>
        </w:rPr>
      </w:pPr>
      <w:bookmarkStart w:id="57" w:name="_Toc20823283"/>
      <w:bookmarkStart w:id="58" w:name="_Toc16938527"/>
      <w:bookmarkStart w:id="59" w:name="_Toc513029211"/>
      <w:bookmarkStart w:id="60" w:name="_Toc462564070"/>
      <w:r>
        <w:rPr>
          <w:rFonts w:hint="eastAsia" w:ascii="宋体" w:hAnsi="宋体" w:eastAsia="宋体" w:cs="宋体"/>
          <w:b/>
          <w:color w:val="auto"/>
          <w:szCs w:val="21"/>
          <w:highlight w:val="none"/>
        </w:rPr>
        <w:t>7、招标文件的</w:t>
      </w:r>
      <w:bookmarkEnd w:id="57"/>
      <w:bookmarkEnd w:id="58"/>
      <w:bookmarkEnd w:id="59"/>
      <w:bookmarkEnd w:id="60"/>
      <w:r>
        <w:rPr>
          <w:rFonts w:hint="eastAsia" w:ascii="宋体" w:hAnsi="宋体" w:eastAsia="宋体" w:cs="宋体"/>
          <w:b/>
          <w:color w:val="auto"/>
          <w:szCs w:val="21"/>
          <w:highlight w:val="none"/>
        </w:rPr>
        <w:t>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任何要求对招标文件进行澄清的投标人，应在投标截止日期的</w:t>
      </w:r>
      <w:r>
        <w:rPr>
          <w:rFonts w:hint="eastAsia" w:ascii="宋体" w:hAnsi="宋体" w:cs="宋体"/>
          <w:color w:val="auto"/>
          <w:szCs w:val="21"/>
          <w:highlight w:val="none"/>
          <w:lang w:val="en-US" w:eastAsia="zh-CN"/>
        </w:rPr>
        <w:t>十五日</w:t>
      </w:r>
      <w:r>
        <w:rPr>
          <w:rFonts w:hint="eastAsia" w:ascii="宋体" w:hAnsi="宋体" w:eastAsia="宋体" w:cs="宋体"/>
          <w:color w:val="auto"/>
          <w:szCs w:val="21"/>
          <w:highlight w:val="none"/>
        </w:rPr>
        <w:t>前按投标邀请中的通讯地址，以书面形式通知代理机构。</w:t>
      </w:r>
    </w:p>
    <w:p>
      <w:pPr>
        <w:spacing w:line="360" w:lineRule="auto"/>
        <w:ind w:firstLine="422" w:firstLineChars="200"/>
        <w:rPr>
          <w:rFonts w:hint="eastAsia" w:ascii="宋体" w:hAnsi="宋体" w:eastAsia="宋体" w:cs="宋体"/>
          <w:b/>
          <w:color w:val="auto"/>
          <w:szCs w:val="21"/>
          <w:highlight w:val="none"/>
        </w:rPr>
      </w:pPr>
      <w:bookmarkStart w:id="61" w:name="_Toc20823284"/>
      <w:bookmarkStart w:id="62" w:name="_Toc16938528"/>
      <w:bookmarkStart w:id="63" w:name="_Toc462564071"/>
      <w:bookmarkStart w:id="64" w:name="_Toc513029212"/>
      <w:r>
        <w:rPr>
          <w:rFonts w:hint="eastAsia" w:ascii="宋体" w:hAnsi="宋体" w:eastAsia="宋体" w:cs="宋体"/>
          <w:b/>
          <w:color w:val="auto"/>
          <w:szCs w:val="21"/>
          <w:highlight w:val="none"/>
        </w:rPr>
        <w:t>8、招标文件的修改</w:t>
      </w:r>
      <w:bookmarkEnd w:id="61"/>
      <w:bookmarkEnd w:id="62"/>
      <w:bookmarkEnd w:id="63"/>
      <w:bookmarkEnd w:id="6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8.1</w:t>
      </w:r>
      <w:r>
        <w:rPr>
          <w:rFonts w:hint="eastAsia" w:ascii="宋体" w:hAnsi="宋体" w:eastAsia="宋体" w:cs="宋体"/>
          <w:color w:val="auto"/>
          <w:szCs w:val="21"/>
          <w:highlight w:val="none"/>
        </w:rPr>
        <w:t xml:space="preserve"> 在投标截止时间前，代理机构可以对招标文件进行修改。</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8.3</w:t>
      </w:r>
      <w:r>
        <w:rPr>
          <w:rFonts w:hint="eastAsia" w:ascii="宋体" w:hAnsi="宋体" w:eastAsia="宋体" w:cs="宋体"/>
          <w:color w:val="auto"/>
          <w:szCs w:val="21"/>
          <w:highlight w:val="none"/>
        </w:rPr>
        <w:t>招标文件的修改将在“</w:t>
      </w:r>
      <w:r>
        <w:rPr>
          <w:rFonts w:hint="eastAsia" w:ascii="宋体" w:hAnsi="宋体" w:eastAsia="宋体" w:cs="宋体"/>
          <w:color w:val="auto"/>
          <w:highlight w:val="none"/>
          <w:lang w:eastAsia="zh-CN"/>
        </w:rPr>
        <w:t>扬州维扬发展投资有限公司网站、江苏省招标投标公共服务平台</w:t>
      </w:r>
      <w:r>
        <w:rPr>
          <w:rFonts w:hint="eastAsia" w:ascii="宋体" w:hAnsi="宋体" w:eastAsia="宋体" w:cs="宋体"/>
          <w:color w:val="auto"/>
          <w:szCs w:val="21"/>
          <w:highlight w:val="none"/>
        </w:rPr>
        <w:t>”公布，补充文件将作为招标文件的组成部分，并对投标人具有约束力。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8.4投标人应在投标截止时间前关注原采购信息发布媒体上有关本招标项目有无变更公告。</w:t>
      </w:r>
    </w:p>
    <w:p>
      <w:pPr>
        <w:spacing w:line="360" w:lineRule="auto"/>
        <w:ind w:firstLine="422" w:firstLineChars="200"/>
        <w:rPr>
          <w:rFonts w:hint="eastAsia" w:ascii="宋体" w:hAnsi="宋体" w:eastAsia="宋体" w:cs="宋体"/>
          <w:b/>
          <w:color w:val="auto"/>
          <w:szCs w:val="21"/>
          <w:highlight w:val="none"/>
        </w:rPr>
      </w:pPr>
      <w:bookmarkStart w:id="65" w:name="_Toc462564073"/>
      <w:bookmarkStart w:id="66" w:name="_Toc513029214"/>
      <w:bookmarkStart w:id="67" w:name="_Toc16938530"/>
      <w:bookmarkStart w:id="68" w:name="_Toc20823286"/>
      <w:r>
        <w:rPr>
          <w:rFonts w:hint="eastAsia" w:ascii="宋体" w:hAnsi="宋体" w:eastAsia="宋体" w:cs="宋体"/>
          <w:b/>
          <w:color w:val="auto"/>
          <w:szCs w:val="21"/>
          <w:highlight w:val="none"/>
        </w:rPr>
        <w:t>9、投标文件的语言、度量衡单位</w:t>
      </w:r>
      <w:bookmarkEnd w:id="65"/>
      <w:bookmarkEnd w:id="66"/>
      <w:bookmarkEnd w:id="67"/>
      <w:bookmarkEnd w:id="68"/>
      <w:r>
        <w:rPr>
          <w:rFonts w:hint="eastAsia" w:ascii="宋体" w:hAnsi="宋体" w:eastAsia="宋体" w:cs="宋体"/>
          <w:b/>
          <w:color w:val="auto"/>
          <w:szCs w:val="21"/>
          <w:highlight w:val="none"/>
        </w:rPr>
        <w:t>、货币和编制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9.1</w:t>
      </w:r>
      <w:r>
        <w:rPr>
          <w:rFonts w:hint="eastAsia" w:ascii="宋体" w:hAnsi="宋体" w:eastAsia="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9.2</w:t>
      </w:r>
      <w:r>
        <w:rPr>
          <w:rFonts w:hint="eastAsia" w:ascii="宋体" w:hAnsi="宋体" w:eastAsia="宋体" w:cs="宋体"/>
          <w:color w:val="auto"/>
          <w:szCs w:val="21"/>
          <w:highlight w:val="none"/>
        </w:rPr>
        <w:t xml:space="preserve"> 除技术性能另有规定外，投标文件所使用的度量衡单位，均须采用国家法定计量单位。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9.3投标人应使用人民币报价。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9.4投标文件应字迹清楚、内容齐全、不得涂改。如有修改，修改处须有投标人加盖公章和法定代表人或其授权代表签字。</w:t>
      </w:r>
    </w:p>
    <w:p>
      <w:pPr>
        <w:spacing w:line="360" w:lineRule="auto"/>
        <w:ind w:firstLine="422" w:firstLineChars="200"/>
        <w:rPr>
          <w:rFonts w:hint="eastAsia" w:ascii="宋体" w:hAnsi="宋体" w:eastAsia="宋体" w:cs="宋体"/>
          <w:b/>
          <w:color w:val="auto"/>
          <w:szCs w:val="21"/>
          <w:highlight w:val="none"/>
        </w:rPr>
      </w:pPr>
      <w:bookmarkStart w:id="69" w:name="_Toc513029215"/>
      <w:bookmarkStart w:id="70" w:name="_Toc462564074"/>
      <w:bookmarkStart w:id="71" w:name="_Toc20823287"/>
      <w:bookmarkStart w:id="72" w:name="_Toc16938531"/>
      <w:r>
        <w:rPr>
          <w:rFonts w:hint="eastAsia" w:ascii="宋体" w:hAnsi="宋体" w:eastAsia="宋体" w:cs="宋体"/>
          <w:b/>
          <w:color w:val="auto"/>
          <w:szCs w:val="21"/>
          <w:highlight w:val="none"/>
        </w:rPr>
        <w:t>10、投标文件构成</w:t>
      </w:r>
      <w:bookmarkEnd w:id="69"/>
      <w:bookmarkEnd w:id="70"/>
      <w:bookmarkEnd w:id="71"/>
      <w:bookmarkEnd w:id="7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10.1</w:t>
      </w:r>
      <w:r>
        <w:rPr>
          <w:rFonts w:hint="eastAsia" w:ascii="宋体" w:hAnsi="宋体" w:eastAsia="宋体" w:cs="宋体"/>
          <w:color w:val="auto"/>
          <w:szCs w:val="21"/>
          <w:highlight w:val="none"/>
        </w:rPr>
        <w:t xml:space="preserve"> 投标人编写的投标文件应包括：资信证明文件、供货一览表、技术参数响应及偏离表、商务条款响应及偏离表、技术及售后服务承诺书、开标一览表、投标产品配置等部分；</w:t>
      </w:r>
    </w:p>
    <w:p>
      <w:pPr>
        <w:spacing w:line="360" w:lineRule="auto"/>
        <w:ind w:firstLine="420" w:firstLineChars="200"/>
        <w:rPr>
          <w:rFonts w:hint="eastAsia" w:ascii="宋体" w:hAnsi="宋体" w:eastAsia="宋体" w:cs="宋体"/>
          <w:color w:val="auto"/>
          <w:szCs w:val="21"/>
          <w:highlight w:val="none"/>
        </w:rPr>
      </w:pPr>
      <w:bookmarkStart w:id="73" w:name="_Toc49090509"/>
      <w:bookmarkStart w:id="74" w:name="_Toc14577357"/>
      <w:bookmarkStart w:id="75" w:name="_Toc513029219"/>
      <w:bookmarkStart w:id="76" w:name="_Toc14577354"/>
      <w:bookmarkStart w:id="77" w:name="_Toc513029216"/>
      <w:bookmarkStart w:id="78" w:name="_Toc49090507"/>
      <w:r>
        <w:rPr>
          <w:rFonts w:hint="eastAsia" w:ascii="宋体" w:hAnsi="宋体" w:eastAsia="宋体" w:cs="宋体"/>
          <w:color w:val="auto"/>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11、证明投标人资格及符合招标文件规定的文件</w:t>
      </w:r>
      <w:bookmarkEnd w:id="73"/>
      <w:bookmarkEnd w:id="74"/>
      <w:bookmarkEnd w:id="7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11.1投标人应按要求提交资信证明文件及符合招标文件规定的文件。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11.2投标人应提交证明其有资格参加投标和中标后有能力独立履行合同的文件。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11.3投标人除必须具有履行合同所需提供的货物以及服务的能力外，还必须具备相应的财务、技术方面的能力。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11.4投标人应提交根据合同要求提供的证明产品质量合格以及符合招标文件规定的证明文件。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11.5证明投标人所提供货物与招标文件的要求相一致的文件可以是手册、图纸、文字资料和数据</w:t>
      </w:r>
      <w:r>
        <w:rPr>
          <w:rFonts w:hint="eastAsia" w:ascii="宋体" w:hAnsi="宋体" w:eastAsia="宋体" w:cs="宋体"/>
          <w:bCs/>
          <w:color w:val="auto"/>
          <w:szCs w:val="21"/>
          <w:highlight w:val="none"/>
        </w:rPr>
        <w:t>。</w:t>
      </w:r>
    </w:p>
    <w:bookmarkEnd w:id="76"/>
    <w:bookmarkEnd w:id="77"/>
    <w:bookmarkEnd w:id="78"/>
    <w:p>
      <w:pPr>
        <w:spacing w:line="360" w:lineRule="auto"/>
        <w:ind w:firstLine="422" w:firstLineChars="200"/>
        <w:rPr>
          <w:rFonts w:hint="eastAsia" w:ascii="宋体" w:hAnsi="宋体" w:eastAsia="宋体" w:cs="宋体"/>
          <w:b/>
          <w:color w:val="auto"/>
          <w:szCs w:val="21"/>
          <w:highlight w:val="none"/>
        </w:rPr>
      </w:pPr>
      <w:bookmarkStart w:id="79" w:name="_Toc49090508"/>
      <w:bookmarkStart w:id="80" w:name="_Toc14577355"/>
      <w:r>
        <w:rPr>
          <w:rFonts w:hint="eastAsia" w:ascii="宋体" w:hAnsi="宋体" w:eastAsia="宋体" w:cs="宋体"/>
          <w:b/>
          <w:color w:val="auto"/>
          <w:szCs w:val="21"/>
          <w:highlight w:val="none"/>
        </w:rPr>
        <w:t>12、供货一览表和投标配置</w:t>
      </w:r>
      <w:bookmarkEnd w:id="79"/>
      <w:bookmarkEnd w:id="80"/>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12.1</w:t>
      </w:r>
      <w:r>
        <w:rPr>
          <w:rFonts w:hint="eastAsia" w:ascii="宋体" w:hAnsi="宋体" w:eastAsia="宋体" w:cs="宋体"/>
          <w:color w:val="auto"/>
          <w:szCs w:val="21"/>
          <w:highlight w:val="none"/>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12.2</w:t>
      </w:r>
      <w:r>
        <w:rPr>
          <w:rFonts w:hint="eastAsia" w:ascii="宋体" w:hAnsi="宋体" w:eastAsia="宋体" w:cs="宋体"/>
          <w:color w:val="auto"/>
          <w:szCs w:val="21"/>
          <w:highlight w:val="none"/>
        </w:rPr>
        <w:t xml:space="preserve"> 标的物。</w:t>
      </w:r>
      <w:r>
        <w:rPr>
          <w:rFonts w:hint="eastAsia" w:ascii="宋体" w:hAnsi="宋体" w:eastAsia="宋体" w:cs="宋体"/>
          <w:bCs/>
          <w:color w:val="auto"/>
          <w:szCs w:val="21"/>
          <w:highlight w:val="none"/>
        </w:rPr>
        <w:t>采购人需求的货物供应、安装，调试及有关技术服务等</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12.3</w:t>
      </w:r>
      <w:r>
        <w:rPr>
          <w:rFonts w:hint="eastAsia" w:ascii="宋体" w:hAnsi="宋体" w:eastAsia="宋体" w:cs="宋体"/>
          <w:bCs/>
          <w:color w:val="auto"/>
          <w:szCs w:val="21"/>
          <w:highlight w:val="none"/>
        </w:rPr>
        <w:t>有关费用处理。</w:t>
      </w:r>
      <w:r>
        <w:rPr>
          <w:rFonts w:hint="eastAsia" w:ascii="宋体" w:hAnsi="宋体" w:eastAsia="宋体" w:cs="宋体"/>
          <w:color w:val="auto"/>
          <w:szCs w:val="21"/>
          <w:highlight w:val="none"/>
        </w:rPr>
        <w:t>招标报价采用总承包方式，投标人的报价应包括所投产品费用、安装费、测试验收费、运行维护费用、税金及其他有关的为完成本项目发生的所有费用，招标文件中另有规定的除外。</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12.4</w:t>
      </w:r>
      <w:r>
        <w:rPr>
          <w:rFonts w:hint="eastAsia" w:ascii="宋体" w:hAnsi="宋体" w:eastAsia="宋体" w:cs="宋体"/>
          <w:bCs/>
          <w:color w:val="auto"/>
          <w:szCs w:val="21"/>
          <w:highlight w:val="none"/>
        </w:rPr>
        <w:t>其它费用处理。招标文件未列明，而投标人认为必需的费用也需列入报价。</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12.5</w:t>
      </w:r>
      <w:r>
        <w:rPr>
          <w:rFonts w:hint="eastAsia" w:ascii="宋体" w:hAnsi="宋体" w:eastAsia="宋体" w:cs="宋体"/>
          <w:bCs/>
          <w:color w:val="auto"/>
          <w:szCs w:val="21"/>
          <w:highlight w:val="none"/>
        </w:rPr>
        <w:t>投标货币。投标文件中的货物单价和总价无特殊规定的采用人民币报价，以元为单位标注。</w:t>
      </w:r>
      <w:r>
        <w:rPr>
          <w:rFonts w:hint="eastAsia" w:ascii="宋体" w:hAnsi="宋体" w:eastAsia="宋体" w:cs="宋体"/>
          <w:color w:val="auto"/>
          <w:szCs w:val="21"/>
          <w:highlight w:val="none"/>
        </w:rPr>
        <w:t>招标文件中另有规定的按规定执行。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w:t>
      </w:r>
      <w:r>
        <w:rPr>
          <w:rFonts w:hint="eastAsia" w:ascii="宋体" w:hAnsi="宋体" w:eastAsia="宋体" w:cs="宋体"/>
          <w:bCs/>
          <w:color w:val="auto"/>
          <w:szCs w:val="21"/>
          <w:highlight w:val="none"/>
        </w:rPr>
        <w:t xml:space="preserve"> 投标配置上的价格应按下列方式分开填写</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项目总价：包括</w:t>
      </w:r>
      <w:r>
        <w:rPr>
          <w:rFonts w:hint="eastAsia" w:ascii="宋体" w:hAnsi="宋体" w:eastAsia="宋体" w:cs="宋体"/>
          <w:bCs/>
          <w:color w:val="auto"/>
          <w:szCs w:val="21"/>
          <w:highlight w:val="none"/>
        </w:rPr>
        <w:t>采购人需求的货物价格</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质量保证费用及售后服务费用，项目在指定地点、环境交付、安装、验收所需费用和所有</w:t>
      </w:r>
      <w:r>
        <w:rPr>
          <w:rFonts w:hint="eastAsia" w:ascii="宋体" w:hAnsi="宋体" w:eastAsia="宋体" w:cs="宋体"/>
          <w:color w:val="auto"/>
          <w:szCs w:val="21"/>
          <w:highlight w:val="none"/>
        </w:rPr>
        <w:t>相关税金费用</w:t>
      </w:r>
      <w:r>
        <w:rPr>
          <w:rFonts w:hint="eastAsia" w:ascii="宋体" w:hAnsi="宋体" w:eastAsia="宋体" w:cs="宋体"/>
          <w:bCs/>
          <w:color w:val="auto"/>
          <w:szCs w:val="21"/>
          <w:highlight w:val="none"/>
        </w:rPr>
        <w:t>及为完成整个项目所产生的其它所有费用。</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(2)项目单价：按投标配置中要求填报。</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13、</w:t>
      </w:r>
      <w:r>
        <w:rPr>
          <w:rFonts w:hint="eastAsia" w:ascii="宋体" w:hAnsi="宋体" w:eastAsia="宋体" w:cs="宋体"/>
          <w:b/>
          <w:color w:val="auto"/>
          <w:szCs w:val="21"/>
          <w:highlight w:val="none"/>
        </w:rPr>
        <w:t>技术参数响应及偏离表、商务条款响应及偏离表及投标货物说明</w:t>
      </w:r>
    </w:p>
    <w:p>
      <w:pPr>
        <w:autoSpaceDE w:val="0"/>
        <w:autoSpaceDN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13.1</w:t>
      </w:r>
      <w:r>
        <w:rPr>
          <w:rFonts w:hint="eastAsia" w:ascii="宋体" w:hAnsi="宋体" w:eastAsia="宋体" w:cs="宋体"/>
          <w:color w:val="auto"/>
          <w:szCs w:val="21"/>
          <w:highlight w:val="none"/>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 提供参加本项目类似案例简介；</w:t>
      </w:r>
    </w:p>
    <w:p>
      <w:pPr>
        <w:tabs>
          <w:tab w:val="left" w:pos="1035"/>
        </w:tabs>
        <w:autoSpaceDE w:val="0"/>
        <w:autoSpaceDN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培训计划；</w:t>
      </w:r>
    </w:p>
    <w:p>
      <w:pPr>
        <w:tabs>
          <w:tab w:val="left" w:pos="1035"/>
        </w:tabs>
        <w:autoSpaceDE w:val="0"/>
        <w:autoSpaceDN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13.5 投标人认为需要的其他技术文件或说明。</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14、服务承诺及售后服务机构、人员的情况介绍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14.1</w:t>
      </w:r>
      <w:r>
        <w:rPr>
          <w:rFonts w:hint="eastAsia" w:ascii="宋体" w:hAnsi="宋体" w:eastAsia="宋体" w:cs="宋体"/>
          <w:color w:val="auto"/>
          <w:szCs w:val="21"/>
          <w:highlight w:val="none"/>
        </w:rPr>
        <w:t>投标人的服务承诺应按不低于招标文件中商务要求的标准。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14.2</w:t>
      </w:r>
      <w:r>
        <w:rPr>
          <w:rFonts w:hint="eastAsia" w:ascii="宋体" w:hAnsi="宋体" w:eastAsia="宋体" w:cs="宋体"/>
          <w:color w:val="auto"/>
          <w:szCs w:val="21"/>
          <w:highlight w:val="none"/>
        </w:rPr>
        <w:t>提供投标人有关售后服务的管理制度、售后服务机构的分布情况、售后服务人员的数量、素质、技术水平及售后服务的反应能力。</w:t>
      </w:r>
    </w:p>
    <w:p>
      <w:pPr>
        <w:spacing w:line="360" w:lineRule="auto"/>
        <w:ind w:firstLine="422" w:firstLineChars="200"/>
        <w:rPr>
          <w:rFonts w:hint="eastAsia" w:ascii="宋体" w:hAnsi="宋体" w:eastAsia="宋体" w:cs="宋体"/>
          <w:b/>
          <w:color w:val="auto"/>
          <w:szCs w:val="21"/>
          <w:highlight w:val="none"/>
        </w:rPr>
      </w:pPr>
      <w:bookmarkStart w:id="81" w:name="_Toc49090510"/>
      <w:bookmarkStart w:id="82" w:name="_Toc14577359"/>
      <w:r>
        <w:rPr>
          <w:rFonts w:hint="eastAsia" w:ascii="宋体" w:hAnsi="宋体" w:eastAsia="宋体" w:cs="宋体"/>
          <w:b/>
          <w:color w:val="auto"/>
          <w:szCs w:val="21"/>
          <w:highlight w:val="none"/>
        </w:rPr>
        <w:t>15、投标函和开标一览表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15.1</w:t>
      </w:r>
      <w:r>
        <w:rPr>
          <w:rFonts w:hint="eastAsia" w:ascii="宋体" w:hAnsi="宋体" w:eastAsia="宋体" w:cs="宋体"/>
          <w:color w:val="auto"/>
          <w:szCs w:val="21"/>
          <w:highlight w:val="none"/>
        </w:rPr>
        <w:t xml:space="preserve"> 投标人应按照招标文件中提供的格式完整、正确填写投标函、开标一览表。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15.2</w:t>
      </w:r>
      <w:r>
        <w:rPr>
          <w:rFonts w:hint="eastAsia" w:ascii="宋体" w:hAnsi="宋体" w:eastAsia="宋体" w:cs="宋体"/>
          <w:color w:val="auto"/>
          <w:szCs w:val="21"/>
          <w:highlight w:val="none"/>
        </w:rPr>
        <w:t xml:space="preserve"> 开标一览表中的价格应与投标文件中投标配置的价格一致，如不一致，不作为无效投标处理，但评标时按开标一览表中价格为准。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16、投标保证金</w:t>
      </w:r>
      <w:bookmarkEnd w:id="81"/>
      <w:bookmarkEnd w:id="82"/>
    </w:p>
    <w:p>
      <w:pPr>
        <w:spacing w:line="360" w:lineRule="auto"/>
        <w:ind w:firstLine="420" w:firstLineChars="200"/>
        <w:rPr>
          <w:rFonts w:hint="eastAsia" w:ascii="宋体" w:hAnsi="宋体" w:eastAsia="宋体" w:cs="宋体"/>
          <w:bCs/>
          <w:color w:val="auto"/>
          <w:szCs w:val="21"/>
          <w:highlight w:val="none"/>
          <w:shd w:val="clear" w:color="auto" w:fill="FFC000"/>
        </w:rPr>
      </w:pPr>
      <w:bookmarkStart w:id="83" w:name="_Toc14577360"/>
      <w:bookmarkStart w:id="84" w:name="_Toc49090511"/>
      <w:r>
        <w:rPr>
          <w:rFonts w:hint="eastAsia" w:ascii="宋体" w:hAnsi="宋体" w:eastAsia="宋体" w:cs="宋体"/>
          <w:bCs/>
          <w:color w:val="auto"/>
          <w:szCs w:val="21"/>
          <w:highlight w:val="none"/>
        </w:rPr>
        <w:t>本项目无须缴纳投标保证金。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17、投标有效期</w:t>
      </w:r>
      <w:bookmarkEnd w:id="83"/>
      <w:bookmarkEnd w:id="84"/>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17.1</w:t>
      </w:r>
      <w:r>
        <w:rPr>
          <w:rFonts w:hint="eastAsia" w:ascii="宋体" w:hAnsi="宋体" w:eastAsia="宋体" w:cs="宋体"/>
          <w:bCs/>
          <w:color w:val="auto"/>
          <w:szCs w:val="21"/>
          <w:highlight w:val="none"/>
        </w:rPr>
        <w:t xml:space="preserve"> 投标有效期为代理机构规定的开标之日起</w:t>
      </w:r>
      <w:r>
        <w:rPr>
          <w:rFonts w:hint="eastAsia" w:ascii="宋体" w:hAnsi="宋体" w:eastAsia="宋体" w:cs="宋体"/>
          <w:b/>
          <w:color w:val="auto"/>
          <w:szCs w:val="21"/>
          <w:highlight w:val="none"/>
          <w:u w:val="single"/>
        </w:rPr>
        <w:t>六十（60）天</w:t>
      </w:r>
      <w:r>
        <w:rPr>
          <w:rFonts w:hint="eastAsia" w:ascii="宋体" w:hAnsi="宋体" w:eastAsia="宋体" w:cs="宋体"/>
          <w:bCs/>
          <w:color w:val="auto"/>
          <w:szCs w:val="21"/>
          <w:highlight w:val="none"/>
        </w:rPr>
        <w:t>。投标有效期比规定短的将被视为非响应性投标而予以拒绝。</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color w:val="auto"/>
          <w:szCs w:val="21"/>
          <w:highlight w:val="none"/>
        </w:rPr>
        <w:t>同时受投标有效期约束的所有权利与义务均延长至新的有效期</w:t>
      </w:r>
      <w:r>
        <w:rPr>
          <w:rFonts w:hint="eastAsia" w:ascii="宋体" w:hAnsi="宋体" w:eastAsia="宋体" w:cs="宋体"/>
          <w:bCs/>
          <w:color w:val="auto"/>
          <w:szCs w:val="21"/>
          <w:highlight w:val="none"/>
        </w:rPr>
        <w:t>。</w:t>
      </w:r>
    </w:p>
    <w:p>
      <w:pPr>
        <w:spacing w:line="360" w:lineRule="auto"/>
        <w:ind w:firstLine="422" w:firstLineChars="200"/>
        <w:rPr>
          <w:rFonts w:hint="eastAsia" w:ascii="宋体" w:hAnsi="宋体" w:eastAsia="宋体" w:cs="宋体"/>
          <w:b/>
          <w:color w:val="auto"/>
          <w:szCs w:val="21"/>
          <w:highlight w:val="none"/>
        </w:rPr>
      </w:pPr>
      <w:bookmarkStart w:id="85" w:name="_Toc49090512"/>
      <w:bookmarkStart w:id="86" w:name="_Toc14577361"/>
      <w:r>
        <w:rPr>
          <w:rFonts w:hint="eastAsia" w:ascii="宋体" w:hAnsi="宋体" w:eastAsia="宋体" w:cs="宋体"/>
          <w:b/>
          <w:color w:val="auto"/>
          <w:szCs w:val="21"/>
          <w:highlight w:val="none"/>
        </w:rPr>
        <w:t>18、投标文件份数和签署</w:t>
      </w:r>
      <w:bookmarkEnd w:id="85"/>
      <w:bookmarkEnd w:id="86"/>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宋体"/>
          <w:bCs/>
          <w:color w:val="auto"/>
          <w:szCs w:val="21"/>
          <w:highlight w:val="none"/>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hint="eastAsia" w:ascii="宋体" w:hAnsi="宋体" w:eastAsia="宋体" w:cs="宋体"/>
          <w:b/>
          <w:color w:val="auto"/>
          <w:szCs w:val="21"/>
          <w:highlight w:val="none"/>
        </w:rPr>
      </w:pPr>
      <w:bookmarkStart w:id="87" w:name="_Toc513029225"/>
      <w:bookmarkStart w:id="88" w:name="_Toc462564084"/>
      <w:bookmarkStart w:id="89" w:name="_Toc16938541"/>
      <w:bookmarkStart w:id="90" w:name="_Toc20823297"/>
      <w:r>
        <w:rPr>
          <w:rFonts w:hint="eastAsia" w:ascii="宋体" w:hAnsi="宋体" w:eastAsia="宋体" w:cs="宋体"/>
          <w:b/>
          <w:color w:val="auto"/>
          <w:szCs w:val="21"/>
          <w:highlight w:val="none"/>
        </w:rPr>
        <w:t>19、投标文件的密封和标记</w:t>
      </w:r>
      <w:bookmarkEnd w:id="87"/>
      <w:bookmarkEnd w:id="88"/>
      <w:bookmarkEnd w:id="89"/>
      <w:bookmarkEnd w:id="90"/>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bCs/>
          <w:color w:val="auto"/>
          <w:szCs w:val="21"/>
          <w:highlight w:val="none"/>
        </w:rPr>
        <w:t>投标人应将投标文件正本、所有副本密封，不论投标人中标与否，投标文件均不退回。</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bCs/>
          <w:color w:val="auto"/>
          <w:szCs w:val="21"/>
          <w:highlight w:val="none"/>
        </w:rPr>
        <w:t xml:space="preserve"> 密封的投标文件应：</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19.2.1 注明投标人名称，如因标注不清而产生的后果由投标人自负。按招标公告中注明的地址送达；</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19.2.2注明投标项目名称、标书编号；</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19.2.3</w:t>
      </w:r>
      <w:r>
        <w:rPr>
          <w:rFonts w:hint="eastAsia" w:ascii="宋体" w:hAnsi="宋体" w:eastAsia="宋体" w:cs="宋体"/>
          <w:bCs/>
          <w:color w:val="auto"/>
          <w:szCs w:val="21"/>
          <w:highlight w:val="none"/>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hint="eastAsia" w:ascii="宋体" w:hAnsi="宋体" w:eastAsia="宋体" w:cs="宋体"/>
          <w:b/>
          <w:color w:val="auto"/>
          <w:szCs w:val="21"/>
          <w:highlight w:val="none"/>
        </w:rPr>
      </w:pPr>
      <w:bookmarkStart w:id="91" w:name="_Toc16938542"/>
      <w:bookmarkStart w:id="92" w:name="_Toc20823298"/>
      <w:bookmarkStart w:id="93" w:name="_Toc513029226"/>
      <w:r>
        <w:rPr>
          <w:rFonts w:hint="eastAsia" w:ascii="宋体" w:hAnsi="宋体" w:eastAsia="宋体" w:cs="宋体"/>
          <w:b/>
          <w:color w:val="auto"/>
          <w:szCs w:val="21"/>
          <w:highlight w:val="none"/>
        </w:rPr>
        <w:t>20、投标截止日期</w:t>
      </w:r>
      <w:bookmarkEnd w:id="91"/>
      <w:bookmarkEnd w:id="92"/>
      <w:bookmarkEnd w:id="93"/>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 xml:space="preserve"> 代理机构收到投标文件的时间不得迟于招标公告中规定的截止时间。</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hint="eastAsia" w:ascii="宋体" w:hAnsi="宋体" w:eastAsia="宋体" w:cs="宋体"/>
          <w:b/>
          <w:color w:val="auto"/>
          <w:szCs w:val="21"/>
          <w:highlight w:val="none"/>
        </w:rPr>
      </w:pPr>
      <w:bookmarkStart w:id="94" w:name="_Toc513029227"/>
      <w:bookmarkStart w:id="95" w:name="_Toc20823299"/>
      <w:bookmarkStart w:id="96" w:name="_Toc16938543"/>
      <w:r>
        <w:rPr>
          <w:rFonts w:hint="eastAsia" w:ascii="宋体" w:hAnsi="宋体" w:eastAsia="宋体" w:cs="宋体"/>
          <w:b/>
          <w:color w:val="auto"/>
          <w:szCs w:val="21"/>
          <w:highlight w:val="none"/>
        </w:rPr>
        <w:t>21、迟交的投标文件</w:t>
      </w:r>
      <w:bookmarkEnd w:id="94"/>
      <w:bookmarkEnd w:id="95"/>
      <w:bookmarkEnd w:id="96"/>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 xml:space="preserve"> 代理机构拒绝接收在其规定的投标截止时间后递交的任何投标文件。</w:t>
      </w:r>
    </w:p>
    <w:p>
      <w:pPr>
        <w:spacing w:line="360" w:lineRule="auto"/>
        <w:ind w:firstLine="422" w:firstLineChars="200"/>
        <w:rPr>
          <w:rFonts w:hint="eastAsia" w:ascii="宋体" w:hAnsi="宋体" w:eastAsia="宋体" w:cs="宋体"/>
          <w:b/>
          <w:color w:val="auto"/>
          <w:szCs w:val="21"/>
          <w:highlight w:val="none"/>
        </w:rPr>
      </w:pPr>
      <w:bookmarkStart w:id="97" w:name="_Toc16938544"/>
      <w:bookmarkStart w:id="98" w:name="_Toc20823300"/>
      <w:bookmarkStart w:id="99" w:name="_Toc513029228"/>
      <w:r>
        <w:rPr>
          <w:rFonts w:hint="eastAsia" w:ascii="宋体" w:hAnsi="宋体" w:eastAsia="宋体" w:cs="宋体"/>
          <w:b/>
          <w:color w:val="auto"/>
          <w:szCs w:val="21"/>
          <w:highlight w:val="none"/>
        </w:rPr>
        <w:t>22、投标文件的修改和撤回</w:t>
      </w:r>
      <w:bookmarkEnd w:id="97"/>
      <w:bookmarkEnd w:id="98"/>
      <w:bookmarkEnd w:id="9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Cs w:val="21"/>
          <w:highlight w:val="none"/>
        </w:rPr>
        <w:t>通知代理机构，否则，代理机构将拒绝。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22.3</w:t>
      </w:r>
      <w:r>
        <w:rPr>
          <w:rFonts w:hint="eastAsia" w:ascii="宋体" w:hAnsi="宋体" w:eastAsia="宋体" w:cs="宋体"/>
          <w:bCs/>
          <w:color w:val="auto"/>
          <w:szCs w:val="21"/>
          <w:highlight w:val="none"/>
        </w:rPr>
        <w:t xml:space="preserve"> 在投标截止时间之后，投标人不得对其投标文件作任何修改。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r>
        <w:rPr>
          <w:rFonts w:hint="eastAsia" w:ascii="宋体" w:hAnsi="宋体" w:eastAsia="宋体" w:cs="宋体"/>
          <w:bCs/>
          <w:color w:val="auto"/>
          <w:szCs w:val="21"/>
          <w:highlight w:val="none"/>
        </w:rPr>
        <w:t xml:space="preserve"> 在投标截止时间至招标文件中规定的投标有效期满之间的这段时间内，投标人不得撤回其投标。</w:t>
      </w:r>
    </w:p>
    <w:p>
      <w:pPr>
        <w:spacing w:line="360" w:lineRule="auto"/>
        <w:ind w:firstLine="422" w:firstLineChars="200"/>
        <w:rPr>
          <w:rFonts w:hint="eastAsia" w:ascii="宋体" w:hAnsi="宋体" w:eastAsia="宋体" w:cs="宋体"/>
          <w:b/>
          <w:color w:val="auto"/>
          <w:szCs w:val="21"/>
          <w:highlight w:val="none"/>
        </w:rPr>
      </w:pPr>
      <w:bookmarkStart w:id="100" w:name="_Toc513029230"/>
      <w:bookmarkStart w:id="101" w:name="_Toc20823302"/>
      <w:bookmarkStart w:id="102" w:name="_Toc16938546"/>
      <w:r>
        <w:rPr>
          <w:rFonts w:hint="eastAsia" w:ascii="宋体" w:hAnsi="宋体" w:eastAsia="宋体" w:cs="宋体"/>
          <w:b/>
          <w:color w:val="auto"/>
          <w:szCs w:val="21"/>
          <w:highlight w:val="none"/>
        </w:rPr>
        <w:t>23、开标</w:t>
      </w:r>
      <w:bookmarkEnd w:id="100"/>
      <w:bookmarkEnd w:id="101"/>
      <w:bookmarkEnd w:id="10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bCs/>
          <w:color w:val="auto"/>
          <w:szCs w:val="21"/>
          <w:highlight w:val="none"/>
        </w:rPr>
        <w:t xml:space="preserve"> 代理机构将在招标公告中规定的时间和地点组织公开开标</w:t>
      </w:r>
      <w:r>
        <w:rPr>
          <w:rFonts w:hint="eastAsia" w:ascii="宋体" w:hAnsi="宋体" w:eastAsia="宋体" w:cs="宋体"/>
          <w:color w:val="auto"/>
          <w:szCs w:val="21"/>
          <w:highlight w:val="none"/>
        </w:rPr>
        <w:t>。投标人应委派携带有效证件的代表准时参加，参加开标的代表需签名以证明其出席。投标人未参加开标的，视同认可开标结果。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23.2</w:t>
      </w:r>
      <w:r>
        <w:rPr>
          <w:rFonts w:hint="eastAsia" w:ascii="宋体" w:hAnsi="宋体" w:cs="宋体"/>
          <w:color w:val="auto"/>
          <w:szCs w:val="21"/>
          <w:highlight w:val="none"/>
          <w:lang w:eastAsia="zh-CN"/>
        </w:rPr>
        <w:t>开标仪式由代理机构组织</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23.3</w:t>
      </w:r>
      <w:r>
        <w:rPr>
          <w:rFonts w:hint="eastAsia" w:ascii="宋体" w:hAnsi="宋体" w:eastAsia="宋体" w:cs="宋体"/>
          <w:bCs/>
          <w:color w:val="auto"/>
          <w:szCs w:val="21"/>
          <w:highlight w:val="none"/>
        </w:rPr>
        <w:t>按照规定同意撤回的投标文件将不予开封。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代理机构将指定专人负责开标记录并存档备查，各投标人需仔细核对开标纪录相关内容并签字确认。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 投标人在报价时不允许采用选择性报价，否则将被视为无效投标。</w:t>
      </w:r>
    </w:p>
    <w:p>
      <w:pPr>
        <w:spacing w:line="360" w:lineRule="auto"/>
        <w:ind w:firstLine="422" w:firstLineChars="200"/>
        <w:rPr>
          <w:rFonts w:hint="eastAsia" w:ascii="宋体" w:hAnsi="宋体" w:eastAsia="宋体" w:cs="宋体"/>
          <w:b/>
          <w:color w:val="auto"/>
          <w:szCs w:val="21"/>
          <w:highlight w:val="none"/>
        </w:rPr>
      </w:pPr>
      <w:bookmarkStart w:id="103" w:name="_Toc16938547"/>
      <w:bookmarkStart w:id="104" w:name="_Toc20823303"/>
      <w:bookmarkStart w:id="105" w:name="_Toc513029231"/>
      <w:r>
        <w:rPr>
          <w:rFonts w:hint="eastAsia" w:ascii="宋体" w:hAnsi="宋体" w:eastAsia="宋体" w:cs="宋体"/>
          <w:b/>
          <w:color w:val="auto"/>
          <w:szCs w:val="21"/>
          <w:highlight w:val="none"/>
        </w:rPr>
        <w:t>24、评标委员会</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24.1开标后，代理机构将立即组织评标委员会（以下简称评委会）进行评标。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24.2 </w:t>
      </w:r>
      <w:r>
        <w:rPr>
          <w:rFonts w:hint="eastAsia" w:ascii="宋体" w:hAnsi="宋体" w:cs="宋体"/>
          <w:color w:val="auto"/>
          <w:szCs w:val="21"/>
          <w:highlight w:val="none"/>
          <w:lang w:eastAsia="zh-CN"/>
        </w:rPr>
        <w:t>评委会构成符合有关规定</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24.3评委会独立工作，负责评审所有投标文件并确定中标候选人。</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25、评标过程的保密与公正</w:t>
      </w:r>
    </w:p>
    <w:bookmarkEnd w:id="103"/>
    <w:bookmarkEnd w:id="104"/>
    <w:bookmarkEnd w:id="105"/>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25.2在评标过程中，投标人不得以任何行为影响评标过程，否则其投标文件将被作为无效投标文件。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 在评标期间，代理机构将设专门工作人员与投标人联系。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 代理机构和评委会不向落标的投标人解释未中标原因，也不公布评标过程中的相关细节。</w:t>
      </w:r>
    </w:p>
    <w:p>
      <w:pPr>
        <w:spacing w:line="360" w:lineRule="auto"/>
        <w:ind w:firstLine="422" w:firstLineChars="200"/>
        <w:rPr>
          <w:rFonts w:hint="eastAsia" w:ascii="宋体" w:hAnsi="宋体" w:eastAsia="宋体" w:cs="宋体"/>
          <w:b/>
          <w:color w:val="auto"/>
          <w:szCs w:val="21"/>
          <w:highlight w:val="none"/>
        </w:rPr>
      </w:pPr>
      <w:bookmarkStart w:id="106" w:name="_Toc20823304"/>
      <w:bookmarkStart w:id="107" w:name="_Toc16938548"/>
      <w:bookmarkStart w:id="108" w:name="_Toc513029232"/>
      <w:r>
        <w:rPr>
          <w:rFonts w:hint="eastAsia" w:ascii="宋体" w:hAnsi="宋体" w:eastAsia="宋体" w:cs="宋体"/>
          <w:b/>
          <w:color w:val="auto"/>
          <w:szCs w:val="21"/>
          <w:highlight w:val="none"/>
        </w:rPr>
        <w:t>26、投标的澄清</w:t>
      </w:r>
      <w:bookmarkEnd w:id="106"/>
      <w:bookmarkEnd w:id="107"/>
      <w:bookmarkEnd w:id="10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接到评委会澄清要求的投标人如未按规定做出澄清，其风险由投标人自行承担。</w:t>
      </w:r>
    </w:p>
    <w:p>
      <w:pPr>
        <w:spacing w:line="360" w:lineRule="auto"/>
        <w:ind w:firstLine="422" w:firstLineChars="200"/>
        <w:rPr>
          <w:rFonts w:hint="eastAsia" w:ascii="宋体" w:hAnsi="宋体" w:eastAsia="宋体" w:cs="宋体"/>
          <w:b/>
          <w:color w:val="auto"/>
          <w:szCs w:val="21"/>
          <w:highlight w:val="none"/>
        </w:rPr>
      </w:pPr>
      <w:bookmarkStart w:id="109" w:name="_Toc20823305"/>
      <w:bookmarkStart w:id="110" w:name="_Toc16938549"/>
      <w:bookmarkStart w:id="111" w:name="_Toc513029233"/>
      <w:r>
        <w:rPr>
          <w:rFonts w:hint="eastAsia" w:ascii="宋体" w:hAnsi="宋体" w:eastAsia="宋体" w:cs="宋体"/>
          <w:b/>
          <w:color w:val="auto"/>
          <w:szCs w:val="21"/>
          <w:highlight w:val="none"/>
        </w:rPr>
        <w:t>27、对投标文件的初审</w:t>
      </w:r>
      <w:bookmarkEnd w:id="109"/>
      <w:bookmarkEnd w:id="110"/>
      <w:bookmarkEnd w:id="111"/>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bCs/>
          <w:color w:val="auto"/>
          <w:szCs w:val="21"/>
          <w:highlight w:val="none"/>
        </w:rPr>
        <w:t>投标文件初审分为资格检查和符合性检查。</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27.1.1</w:t>
      </w:r>
      <w:r>
        <w:rPr>
          <w:rFonts w:hint="eastAsia" w:ascii="宋体" w:hAnsi="宋体" w:eastAsia="宋体" w:cs="宋体"/>
          <w:bCs/>
          <w:color w:val="auto"/>
          <w:szCs w:val="21"/>
          <w:highlight w:val="none"/>
        </w:rPr>
        <w:t>资格审查：依据法律法规和招标文件的规定，</w:t>
      </w:r>
      <w:r>
        <w:rPr>
          <w:rFonts w:hint="eastAsia" w:ascii="宋体" w:hAnsi="宋体" w:cs="宋体"/>
          <w:bCs/>
          <w:color w:val="auto"/>
          <w:szCs w:val="21"/>
          <w:highlight w:val="none"/>
          <w:lang w:eastAsia="zh-CN"/>
        </w:rPr>
        <w:t>对投标文件中的资信证明文件进行审查</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27.1.2</w:t>
      </w:r>
      <w:r>
        <w:rPr>
          <w:rFonts w:hint="eastAsia" w:ascii="宋体" w:hAnsi="宋体" w:eastAsia="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color w:val="auto"/>
          <w:szCs w:val="21"/>
          <w:highlight w:val="none"/>
        </w:rPr>
        <w:t>评委决定投标文件的响应性只根据投标文件本身的内容，而不寻求外部的证据。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27.4</w:t>
      </w:r>
      <w:r>
        <w:rPr>
          <w:rFonts w:hint="eastAsia" w:ascii="宋体" w:hAnsi="宋体" w:eastAsia="宋体" w:cs="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（1）投标文件中开标一览表内容与投标文件中相应内容不一致的，以开标一览表为准。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（2）投标文件、“开标一览表”中报价的大写金额与小写金额不一致的，以大写金额为准。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27.5</w:t>
      </w:r>
      <w:r>
        <w:rPr>
          <w:rFonts w:hint="eastAsia" w:ascii="宋体" w:hAnsi="宋体" w:eastAsia="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27.6</w:t>
      </w:r>
      <w:r>
        <w:rPr>
          <w:rFonts w:hint="eastAsia" w:ascii="宋体" w:hAnsi="宋体" w:eastAsia="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非单一产品采购项目，招标文件中将载明其中的核心产品。多家投标人提供的核心产品品牌相同的，按前两款规定处理。</w:t>
      </w:r>
    </w:p>
    <w:p>
      <w:pPr>
        <w:spacing w:line="360" w:lineRule="auto"/>
        <w:ind w:firstLine="422" w:firstLineChars="200"/>
        <w:rPr>
          <w:rFonts w:hint="eastAsia" w:ascii="宋体" w:hAnsi="宋体" w:eastAsia="宋体" w:cs="宋体"/>
          <w:b/>
          <w:color w:val="auto"/>
          <w:szCs w:val="21"/>
          <w:highlight w:val="none"/>
        </w:rPr>
      </w:pPr>
      <w:bookmarkStart w:id="112" w:name="_Toc513029234"/>
      <w:bookmarkStart w:id="113" w:name="_Toc16938550"/>
      <w:bookmarkStart w:id="114" w:name="_Toc20823306"/>
      <w:r>
        <w:rPr>
          <w:rFonts w:hint="eastAsia" w:ascii="宋体" w:hAnsi="宋体" w:eastAsia="宋体" w:cs="宋体"/>
          <w:b/>
          <w:color w:val="auto"/>
          <w:szCs w:val="21"/>
          <w:highlight w:val="none"/>
        </w:rPr>
        <w:t>28、</w:t>
      </w:r>
      <w:bookmarkEnd w:id="112"/>
      <w:bookmarkEnd w:id="113"/>
      <w:bookmarkEnd w:id="114"/>
      <w:r>
        <w:rPr>
          <w:rFonts w:hint="eastAsia" w:ascii="宋体" w:hAnsi="宋体" w:eastAsia="宋体" w:cs="宋体"/>
          <w:b/>
          <w:color w:val="auto"/>
          <w:szCs w:val="21"/>
          <w:highlight w:val="none"/>
        </w:rPr>
        <w:t>无效投标、废标及投标人不足三家的处理</w:t>
      </w:r>
    </w:p>
    <w:p>
      <w:pPr>
        <w:spacing w:line="360" w:lineRule="auto"/>
        <w:ind w:firstLine="420" w:firstLineChars="200"/>
        <w:rPr>
          <w:rFonts w:hint="eastAsia" w:ascii="宋体" w:hAnsi="宋体" w:eastAsia="宋体" w:cs="宋体"/>
          <w:bCs/>
          <w:color w:val="auto"/>
          <w:szCs w:val="21"/>
          <w:highlight w:val="none"/>
        </w:rPr>
      </w:pPr>
      <w:bookmarkStart w:id="115" w:name="_Toc20823307"/>
      <w:bookmarkStart w:id="116" w:name="_Toc513029235"/>
      <w:bookmarkStart w:id="117" w:name="_Toc16938551"/>
      <w:r>
        <w:rPr>
          <w:rFonts w:hint="eastAsia" w:ascii="宋体" w:hAnsi="宋体" w:eastAsia="宋体" w:cs="宋体"/>
          <w:bCs/>
          <w:color w:val="auto"/>
          <w:szCs w:val="21"/>
          <w:highlight w:val="none"/>
        </w:rPr>
        <w:t>28.1无效投标条款：</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28.1.1未按照招标文件规定要求密封、签署、盖章的；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28.1.2投标人在报价时采用选择性报价；</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28.1.3投标人不具备招标文件中规定资格要求的；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28.1.4投标人的报价超过了采购预算或最高限价的；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28.1.5未通过符合性检查的；</w:t>
      </w:r>
    </w:p>
    <w:bookmarkEnd w:id="115"/>
    <w:bookmarkEnd w:id="116"/>
    <w:bookmarkEnd w:id="117"/>
    <w:p>
      <w:pPr>
        <w:spacing w:line="360" w:lineRule="auto"/>
        <w:ind w:firstLine="420" w:firstLineChars="200"/>
        <w:rPr>
          <w:rFonts w:hint="eastAsia" w:ascii="宋体" w:hAnsi="宋体" w:eastAsia="宋体" w:cs="宋体"/>
          <w:bCs/>
          <w:color w:val="auto"/>
          <w:szCs w:val="21"/>
          <w:highlight w:val="none"/>
          <w:u w:val="single"/>
        </w:rPr>
      </w:pPr>
      <w:bookmarkStart w:id="118" w:name="_Toc16938554"/>
      <w:bookmarkStart w:id="119" w:name="_Toc20823310"/>
      <w:bookmarkStart w:id="120" w:name="_Toc513029238"/>
      <w:r>
        <w:rPr>
          <w:rFonts w:hint="eastAsia" w:ascii="宋体" w:hAnsi="宋体" w:eastAsia="宋体" w:cs="宋体"/>
          <w:bCs/>
          <w:color w:val="auto"/>
          <w:szCs w:val="21"/>
          <w:highlight w:val="none"/>
        </w:rPr>
        <w:t>28.1.6不符合招标文件中规定的其他实质性要求和条件的</w:t>
      </w:r>
      <w:r>
        <w:rPr>
          <w:rFonts w:hint="eastAsia" w:ascii="宋体" w:hAnsi="宋体" w:eastAsia="宋体" w:cs="宋体"/>
          <w:bCs/>
          <w:i/>
          <w:color w:val="auto"/>
          <w:szCs w:val="21"/>
          <w:highlight w:val="none"/>
          <w:u w:val="single"/>
        </w:rPr>
        <w:t>（本招标文件中斜体且有下划线部分为实质性要求和条件，包括但不限于该范围）</w:t>
      </w:r>
      <w:r>
        <w:rPr>
          <w:rFonts w:hint="eastAsia" w:ascii="宋体" w:hAnsi="宋体" w:eastAsia="宋体" w:cs="宋体"/>
          <w:bCs/>
          <w:color w:val="auto"/>
          <w:szCs w:val="21"/>
          <w:highlight w:val="none"/>
          <w:u w:val="single"/>
        </w:rPr>
        <w:t xml:space="preserve">； </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28.1.7投标人被 “信用中国”网站（www.creditchina.gov.cn）列入失信被执行人或重大税收违法案件当事人名单或政府采购严重失信行为记录名单。若接受联合体的项目，两个以上的自然人、法人或者其他组织组成一个联合体，以一个供应商的身份共同参加</w:t>
      </w:r>
      <w:r>
        <w:rPr>
          <w:rFonts w:hint="eastAsia" w:ascii="宋体" w:hAnsi="宋体" w:cs="宋体"/>
          <w:bCs/>
          <w:color w:val="auto"/>
          <w:szCs w:val="21"/>
          <w:highlight w:val="none"/>
          <w:lang w:eastAsia="zh-CN"/>
        </w:rPr>
        <w:t>采购</w:t>
      </w:r>
      <w:r>
        <w:rPr>
          <w:rFonts w:hint="eastAsia" w:ascii="宋体" w:hAnsi="宋体" w:eastAsia="宋体" w:cs="宋体"/>
          <w:bCs/>
          <w:color w:val="auto"/>
          <w:szCs w:val="21"/>
          <w:highlight w:val="none"/>
        </w:rPr>
        <w:t>活动的，联合体成员存在不良信用记录的，视同联合体存在不良应用记录；</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28.1.8 投标文件含有采购人不能接受的附加条件的； </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28.1.10其他法律、法规及本招标文件规定的属无效投标的情形。</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28.2废标条款：                                                                                                                                                                                                                                                                                                                                                                                                                                                                                                                                                                                                                                                                                                                                                                                                                                                                                                                                                                                                                                                                                                                                                                                                                                                                                                                                                                                                                                                                         </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28.2.1符合专业条件的供应商或者对招标文件作实质响应的供应商不足三家的；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28.2.2投标人的报价均超过采购预算或最高限价；</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28.2.3出现影响采购公正的违法、违规行为的；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28.2.4因重大变故，采购任务取消的；</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28.2.5评标委员会认定招标文件存在歧义、 重大缺陷导致评审工作无法进行。</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28.3.1招标文件存在不合理条款或者招标程序不符合规定的，由采购人、代理机构改正后依法重新招标。</w:t>
      </w:r>
    </w:p>
    <w:bookmarkEnd w:id="118"/>
    <w:bookmarkEnd w:id="119"/>
    <w:bookmarkEnd w:id="120"/>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29、确定中标单位</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29.1评委会根据本招标文件规定评标方法与评标标准向采购人推荐出中标候选人。</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29.2 采购人应根据评委会推荐的中标候选人确定中标人。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29.3</w:t>
      </w:r>
      <w:r>
        <w:rPr>
          <w:rFonts w:hint="eastAsia" w:ascii="宋体" w:hAnsi="宋体" w:eastAsia="宋体" w:cs="宋体"/>
          <w:color w:val="auto"/>
          <w:szCs w:val="21"/>
          <w:highlight w:val="none"/>
        </w:rPr>
        <w:t>代理机构将在“</w:t>
      </w:r>
      <w:r>
        <w:rPr>
          <w:rFonts w:hint="eastAsia" w:ascii="宋体" w:hAnsi="宋体" w:eastAsia="宋体" w:cs="宋体"/>
          <w:color w:val="auto"/>
          <w:highlight w:val="none"/>
          <w:lang w:eastAsia="zh-CN"/>
        </w:rPr>
        <w:t>扬州维扬发展投资有限公司网站、江苏省招标投标公共服务平台</w:t>
      </w:r>
      <w:r>
        <w:rPr>
          <w:rFonts w:hint="eastAsia" w:ascii="宋体" w:hAnsi="宋体" w:eastAsia="宋体" w:cs="宋体"/>
          <w:color w:val="auto"/>
          <w:szCs w:val="21"/>
          <w:highlight w:val="none"/>
        </w:rPr>
        <w:t>”发布中标公告，公告期限为1个工作日。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29.4若有充分证据证明，中标人出现下列情况之一的，一经查实，将被取消中标资格：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29.4.1提供虚假材料谋取中标的；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29.4.2向采购人、代理机构行贿或者提供其他不正当利益的；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29.4.3恶意竞争，投标总报价明显低于其自身合理成本且又无法提供证明的；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29.4.4属于本文件规定的无效条件，但在评标过程中又未被评委会发现的；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29.4.5与采购人或者其他投标人串通投标的；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29.4.6采取不正当手段诋毁、排挤其他供应商的；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29.4.7不符合法律、法规的规定的。</w:t>
      </w:r>
      <w:bookmarkStart w:id="121" w:name="_Toc20045196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 有下列情形之一的，视为投标人串通投标，投标无效：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29.5.1不同投标人的投标文件由同一单位或者个人编制。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29.5.2不同投标人委托同一单位或者个人办理投标事宜。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29.5.3 不同投标人的投标文件载明的项目管理成员或者联系人员为同一人。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29.5.4不同投标人的投标文件异常一致或者投标报价呈规律性差异。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29.5.5不同投标人的投标文件相互混装。</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30、质疑处理</w:t>
      </w:r>
      <w:bookmarkEnd w:id="12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30.1.1对可以质疑的采购文件提出质疑的，为收到采购文件之日或者采购文件公告期限届满之日；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30.1.2对采购过程提出质疑的，为各采购程序环节结束之日；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30.1.3对中标结果提出质疑的，为中标结果公告期限届满之日。</w:t>
      </w:r>
    </w:p>
    <w:p>
      <w:pPr>
        <w:spacing w:line="360" w:lineRule="auto"/>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30.2</w:t>
      </w:r>
      <w:r>
        <w:rPr>
          <w:rFonts w:hint="eastAsia" w:ascii="宋体" w:hAnsi="宋体" w:cs="宋体"/>
          <w:color w:val="auto"/>
          <w:szCs w:val="21"/>
          <w:highlight w:val="none"/>
          <w:lang w:eastAsia="zh-CN"/>
        </w:rPr>
        <w:t>质疑必须按相关规定提交，未按要求提交的质疑函（含传真、电子邮件等）代理机构有权不予受理</w:t>
      </w:r>
      <w:r>
        <w:rPr>
          <w:rFonts w:hint="eastAsia" w:ascii="宋体" w:hAnsi="宋体" w:eastAsia="宋体" w:cs="宋体"/>
          <w:color w:val="auto"/>
          <w:spacing w:val="-20"/>
          <w:szCs w:val="21"/>
          <w:highlight w:val="none"/>
        </w:rPr>
        <w:t>。</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30.3未参加投标活动的供应商或在投标活动中自身权益未受到损害的供应商所提出的质疑不予受理。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30.4质疑申请应当包括下列内容：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30.4.1质疑投标人的名称、地址、邮编、联系人、联系电话；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30.4.2具体的质疑事项及明确的请求；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30.4.3认为自己合法权益受到损害或可能受到损害的相关证据材料；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30.4.4提起质疑的日期；</w:t>
      </w:r>
    </w:p>
    <w:p>
      <w:pPr>
        <w:spacing w:line="360" w:lineRule="auto"/>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color w:val="auto"/>
          <w:szCs w:val="21"/>
          <w:highlight w:val="none"/>
        </w:rPr>
        <w:t>《质疑申请书》及《授权委托书》格式见网址：http://zfcg.yangzhou.gov.cn/。</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30.5代理机构收到质疑申请后，将对质疑的形式和内容进行审查，如质疑内容、格式不符合规定，代理机构将告知质疑人进行补正。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 诚实信用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30.8.1 投标人之间不得相互串通投标报价，不得妨碍其他投标人的公平竞争，不得损害采购人和其他投标人的合法权益；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30.8.2 投标人不得以向代理机构工作人员、评标委员会成员行贿或者采取其他不正当手段谋取中标。经查实投标人有此行为的，</w:t>
      </w:r>
      <w:r>
        <w:rPr>
          <w:rFonts w:hint="eastAsia" w:ascii="宋体" w:hAnsi="宋体" w:cs="宋体"/>
          <w:color w:val="auto"/>
          <w:szCs w:val="21"/>
          <w:highlight w:val="none"/>
          <w:lang w:eastAsia="zh-CN"/>
        </w:rPr>
        <w:t>将投标人列入不良行为记录名单，按照有关规定处理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30.8.3 投标人提出书面质疑必须有理、有据，不得虚假质疑和恶意质疑，并对质疑内容的真实性承担责任。一经查实，代理机构有权依据的有关规定，报请监管部门对该投标人进行相应的行政处罚并在网站上予以公示。如果投标人或者其他利害关系人通过捏造事实、伪造证明材料等方式提出质疑，干扰</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活动正常进行的，属于严重不良行为，代理机构将提请监管部门将其列入不良行为记录名单，并依法予以处罚；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30.8.4 投标人不得虚假承诺，否则，按照提供虚假材料谋取中标成交处理；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30.8.5 投标人应自觉遵守开标、评标纪律，扰乱开标评标现场秩序的，属于失信行为，失信行为将被记入投标人诚信档案。</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31、中标通知书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31.l中标结果确定后，代理机构将向中标供应商发出中标通知书。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中标供应商收到中标通知书后，应签字确认中标通知书已收到。若无回复，则公告后视同中标供应商已经知悉并同意接受。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31.4所有投标文件都将作为档案保存，不论中标与否，代理机构均不退回。</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32</w:t>
      </w:r>
      <w:r>
        <w:rPr>
          <w:rFonts w:hint="eastAsia" w:ascii="宋体" w:hAnsi="宋体" w:eastAsia="宋体" w:cs="宋体"/>
          <w:color w:val="auto"/>
          <w:szCs w:val="21"/>
          <w:highlight w:val="none"/>
        </w:rPr>
        <w:t>.l中标供应商应按中标通知书规定的时间、地点,按照招标文件确定的事项与采购人签订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合同，且不得迟于中标通知书发出之日起三十日，由此给采购人造成损失的，中标供应商还应承担赔偿责任。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32.2招标文件、中标供应商的投标文件及招标过程中有关澄清、承诺文件均应作为合同附件。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签订合同后，</w:t>
      </w:r>
      <w:r>
        <w:rPr>
          <w:rFonts w:hint="eastAsia" w:ascii="宋体" w:hAnsi="宋体" w:eastAsia="宋体" w:cs="宋体"/>
          <w:i/>
          <w:color w:val="auto"/>
          <w:szCs w:val="21"/>
          <w:highlight w:val="none"/>
          <w:u w:val="single"/>
        </w:rPr>
        <w:t>中标供应商不得将中标服务进行转包</w:t>
      </w:r>
      <w:r>
        <w:rPr>
          <w:rFonts w:hint="eastAsia" w:ascii="宋体" w:hAnsi="宋体" w:eastAsia="宋体" w:cs="宋体"/>
          <w:color w:val="auto"/>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32.5履约保证金：本项目不收取履约保证金。</w:t>
      </w:r>
    </w:p>
    <w:p>
      <w:pPr>
        <w:rPr>
          <w:rFonts w:hint="eastAsia" w:ascii="宋体" w:hAnsi="宋体" w:eastAsia="宋体" w:cs="宋体"/>
          <w:b/>
          <w:bCs/>
          <w:color w:val="auto"/>
          <w:kern w:val="44"/>
          <w:sz w:val="36"/>
          <w:szCs w:val="44"/>
          <w:highlight w:val="none"/>
          <w:lang w:val="en-US" w:eastAsia="zh-CN" w:bidi="ar-SA"/>
        </w:rPr>
      </w:pPr>
    </w:p>
    <w:p>
      <w:pPr>
        <w:ind w:left="375" w:right="376"/>
        <w:jc w:val="center"/>
        <w:rPr>
          <w:rFonts w:hint="default" w:ascii="宋体" w:hAnsi="宋体" w:eastAsia="宋体" w:cs="宋体"/>
          <w:b/>
          <w:bCs/>
          <w:color w:val="auto"/>
          <w:kern w:val="44"/>
          <w:sz w:val="36"/>
          <w:szCs w:val="44"/>
          <w:highlight w:val="none"/>
          <w:lang w:val="en-US" w:eastAsia="zh-CN" w:bidi="ar-SA"/>
        </w:rPr>
      </w:pPr>
      <w:r>
        <w:rPr>
          <w:rFonts w:hint="eastAsia" w:ascii="宋体" w:hAnsi="宋体" w:eastAsia="宋体" w:cs="宋体"/>
          <w:b/>
          <w:bCs/>
          <w:color w:val="auto"/>
          <w:kern w:val="44"/>
          <w:sz w:val="36"/>
          <w:szCs w:val="44"/>
          <w:highlight w:val="none"/>
          <w:lang w:val="en-US" w:eastAsia="zh-CN" w:bidi="ar-SA"/>
        </w:rPr>
        <w:t xml:space="preserve">第三章 </w:t>
      </w:r>
      <w:r>
        <w:rPr>
          <w:rFonts w:hint="eastAsia" w:ascii="宋体" w:hAnsi="宋体" w:cs="宋体"/>
          <w:b/>
          <w:bCs/>
          <w:color w:val="auto"/>
          <w:kern w:val="44"/>
          <w:sz w:val="36"/>
          <w:szCs w:val="44"/>
          <w:highlight w:val="none"/>
          <w:lang w:val="en-US" w:eastAsia="zh-CN" w:bidi="ar-SA"/>
        </w:rPr>
        <w:t>合同条款及格式</w:t>
      </w:r>
    </w:p>
    <w:p>
      <w:pPr>
        <w:ind w:left="375" w:right="376"/>
        <w:jc w:val="center"/>
        <w:rPr>
          <w:rFonts w:hint="eastAsia" w:ascii="宋体" w:hAnsi="宋体" w:eastAsia="宋体" w:cs="宋体"/>
          <w:color w:val="auto"/>
          <w:sz w:val="36"/>
          <w:highlight w:val="none"/>
        </w:rPr>
      </w:pPr>
    </w:p>
    <w:p>
      <w:pPr>
        <w:ind w:left="375" w:right="376"/>
        <w:jc w:val="center"/>
        <w:rPr>
          <w:rFonts w:hint="eastAsia" w:ascii="宋体" w:hAnsi="宋体" w:eastAsia="宋体" w:cs="宋体"/>
          <w:color w:val="auto"/>
          <w:sz w:val="36"/>
          <w:highlight w:val="none"/>
        </w:rPr>
      </w:pPr>
    </w:p>
    <w:p>
      <w:pPr>
        <w:ind w:right="376"/>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GZ4</w:t>
      </w:r>
      <w:r>
        <w:rPr>
          <w:rFonts w:hint="eastAsia" w:ascii="宋体" w:hAnsi="宋体" w:eastAsia="宋体" w:cs="宋体"/>
          <w:color w:val="auto"/>
          <w:sz w:val="36"/>
          <w:highlight w:val="none"/>
          <w:lang w:val="en-US" w:eastAsia="zh-CN"/>
        </w:rPr>
        <w:t>58</w:t>
      </w:r>
      <w:r>
        <w:rPr>
          <w:rFonts w:hint="eastAsia" w:ascii="宋体" w:hAnsi="宋体" w:eastAsia="宋体" w:cs="宋体"/>
          <w:color w:val="auto"/>
          <w:sz w:val="36"/>
          <w:highlight w:val="none"/>
        </w:rPr>
        <w:t>地块项目渠道推广服务采购合同</w:t>
      </w:r>
    </w:p>
    <w:p>
      <w:pPr>
        <w:pStyle w:val="2"/>
        <w:ind w:firstLine="420"/>
        <w:rPr>
          <w:rFonts w:hint="eastAsia" w:ascii="宋体" w:hAnsi="宋体" w:eastAsia="宋体" w:cs="宋体"/>
          <w:color w:val="auto"/>
          <w:highlight w:val="none"/>
        </w:rPr>
      </w:pPr>
    </w:p>
    <w:p>
      <w:pPr>
        <w:pStyle w:val="2"/>
        <w:ind w:firstLine="420"/>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color w:val="auto"/>
          <w:highlight w:val="none"/>
        </w:rPr>
      </w:pP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委托方（以下简称甲方）：</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p>
      <w:pPr>
        <w:pStyle w:val="24"/>
        <w:spacing w:line="540" w:lineRule="exact"/>
        <w:ind w:firstLine="482" w:firstLineChars="200"/>
        <w:rPr>
          <w:rFonts w:hint="eastAsia" w:ascii="宋体" w:hAnsi="宋体" w:eastAsia="宋体" w:cs="宋体"/>
          <w:b/>
          <w:color w:val="auto"/>
          <w:sz w:val="24"/>
          <w:highlight w:val="none"/>
        </w:rPr>
      </w:pPr>
    </w:p>
    <w:p>
      <w:pPr>
        <w:pStyle w:val="24"/>
        <w:spacing w:line="540" w:lineRule="exact"/>
        <w:ind w:firstLine="482" w:firstLineChars="200"/>
        <w:rPr>
          <w:rFonts w:hint="eastAsia" w:ascii="宋体" w:hAnsi="宋体" w:eastAsia="宋体" w:cs="宋体"/>
          <w:b/>
          <w:color w:val="auto"/>
          <w:sz w:val="24"/>
          <w:highlight w:val="none"/>
        </w:rPr>
      </w:pPr>
    </w:p>
    <w:p>
      <w:pPr>
        <w:pStyle w:val="24"/>
        <w:spacing w:line="540" w:lineRule="exact"/>
        <w:ind w:firstLine="482" w:firstLineChars="200"/>
        <w:rPr>
          <w:rFonts w:hint="eastAsia" w:ascii="宋体" w:hAnsi="宋体" w:eastAsia="宋体" w:cs="宋体"/>
          <w:b/>
          <w:color w:val="auto"/>
          <w:sz w:val="24"/>
          <w:highlight w:val="none"/>
        </w:rPr>
      </w:pP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受委托方（以下简称乙方）：        </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p>
      <w:pPr>
        <w:pStyle w:val="24"/>
        <w:spacing w:line="5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p>
      <w:pPr>
        <w:pStyle w:val="24"/>
        <w:spacing w:line="540" w:lineRule="exact"/>
        <w:rPr>
          <w:rFonts w:hint="eastAsia" w:ascii="宋体" w:hAnsi="宋体" w:eastAsia="宋体" w:cs="宋体"/>
          <w:b/>
          <w:color w:val="auto"/>
          <w:sz w:val="24"/>
          <w:highlight w:val="none"/>
        </w:rPr>
      </w:pPr>
    </w:p>
    <w:p>
      <w:pPr>
        <w:pStyle w:val="24"/>
        <w:spacing w:line="540" w:lineRule="exact"/>
        <w:rPr>
          <w:rFonts w:hint="eastAsia" w:ascii="宋体" w:hAnsi="宋体" w:eastAsia="宋体" w:cs="宋体"/>
          <w:b/>
          <w:color w:val="auto"/>
          <w:sz w:val="24"/>
          <w:highlight w:val="none"/>
        </w:rPr>
      </w:pPr>
    </w:p>
    <w:p>
      <w:pPr>
        <w:ind w:left="375" w:right="376"/>
        <w:jc w:val="center"/>
        <w:rPr>
          <w:rFonts w:hint="eastAsia" w:ascii="宋体" w:hAnsi="宋体" w:eastAsia="宋体" w:cs="宋体"/>
          <w:color w:val="auto"/>
          <w:sz w:val="36"/>
          <w:highlight w:val="none"/>
        </w:rPr>
      </w:pPr>
      <w:bookmarkStart w:id="122" w:name="_Toc17960"/>
      <w:r>
        <w:rPr>
          <w:rFonts w:hint="eastAsia" w:ascii="宋体" w:hAnsi="宋体" w:eastAsia="宋体" w:cs="宋体"/>
          <w:color w:val="auto"/>
          <w:sz w:val="36"/>
          <w:highlight w:val="none"/>
        </w:rPr>
        <w:t>GZ4</w:t>
      </w:r>
      <w:r>
        <w:rPr>
          <w:rFonts w:hint="eastAsia" w:ascii="宋体" w:hAnsi="宋体" w:eastAsia="宋体" w:cs="宋体"/>
          <w:color w:val="auto"/>
          <w:sz w:val="36"/>
          <w:highlight w:val="none"/>
          <w:lang w:val="en-US" w:eastAsia="zh-CN"/>
        </w:rPr>
        <w:t>5</w:t>
      </w:r>
      <w:r>
        <w:rPr>
          <w:rFonts w:hint="eastAsia" w:ascii="宋体" w:hAnsi="宋体" w:eastAsia="宋体" w:cs="宋体"/>
          <w:color w:val="auto"/>
          <w:sz w:val="36"/>
          <w:highlight w:val="none"/>
        </w:rPr>
        <w:t>8地块项目渠道推广服务合同书</w:t>
      </w:r>
    </w:p>
    <w:p>
      <w:pPr>
        <w:pStyle w:val="24"/>
        <w:spacing w:after="0" w:line="360" w:lineRule="auto"/>
        <w:ind w:left="0" w:leftChars="0" w:firstLine="420" w:firstLineChars="200"/>
        <w:rPr>
          <w:rFonts w:hint="eastAsia" w:ascii="宋体" w:hAnsi="宋体" w:eastAsia="宋体" w:cs="宋体"/>
          <w:color w:val="auto"/>
          <w:sz w:val="21"/>
          <w:szCs w:val="21"/>
          <w:highlight w:val="none"/>
        </w:rPr>
      </w:pP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pPr>
        <w:spacing w:after="312" w:afterLines="100" w:line="360" w:lineRule="auto"/>
        <w:ind w:firstLine="420" w:firstLineChars="200"/>
        <w:rPr>
          <w:rFonts w:hint="eastAsia" w:ascii="宋体" w:hAnsi="宋体" w:eastAsia="宋体" w:cs="宋体"/>
          <w:color w:val="auto"/>
          <w:sz w:val="22"/>
          <w:highlight w:val="none"/>
          <w:u w:color="000000"/>
          <w:lang w:val="zh-TW" w:eastAsia="zh-TW"/>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的有关规定，应甲方业务需求，乙方通过营销渠道推广服务，协助甲方公司在营销渠道推广方面提供优质服务，助力甲方销售。甲、乙双方经友好协商一致，就委托乙方对其开发建设的项目实施渠道推广专项服务事项，为明确双方权利义务，特制定以下条款。</w:t>
      </w:r>
    </w:p>
    <w:p>
      <w:pPr>
        <w:pStyle w:val="13"/>
        <w:keepNext/>
        <w:keepLines/>
        <w:numPr>
          <w:ilvl w:val="0"/>
          <w:numId w:val="7"/>
        </w:numPr>
        <w:spacing w:before="0" w:after="0" w:line="360" w:lineRule="auto"/>
        <w:ind w:left="0"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服务范围及服务内容</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Style w:val="59"/>
          <w:rFonts w:hint="eastAsia" w:ascii="宋体" w:hAnsi="宋体" w:cs="宋体"/>
          <w:b w:val="0"/>
          <w:color w:val="auto"/>
          <w:sz w:val="21"/>
          <w:szCs w:val="21"/>
          <w:highlight w:val="none"/>
          <w:lang w:val="en-US" w:eastAsia="zh-CN"/>
        </w:rPr>
        <w:t xml:space="preserve">1.1 </w:t>
      </w:r>
      <w:r>
        <w:rPr>
          <w:rStyle w:val="59"/>
          <w:rFonts w:hint="eastAsia" w:ascii="宋体" w:hAnsi="宋体" w:eastAsia="宋体" w:cs="宋体"/>
          <w:b w:val="0"/>
          <w:color w:val="auto"/>
          <w:sz w:val="21"/>
          <w:szCs w:val="21"/>
          <w:highlight w:val="none"/>
        </w:rPr>
        <w:t>项目位置</w:t>
      </w:r>
      <w:r>
        <w:rPr>
          <w:rFonts w:hint="eastAsia" w:ascii="宋体" w:hAnsi="宋体" w:eastAsia="宋体" w:cs="宋体"/>
          <w:color w:val="auto"/>
          <w:sz w:val="21"/>
          <w:szCs w:val="21"/>
          <w:highlight w:val="none"/>
        </w:rPr>
        <w:t>： GZ</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地块位于【扬州市W</w:t>
      </w:r>
      <w:r>
        <w:rPr>
          <w:rFonts w:hint="eastAsia" w:ascii="宋体" w:hAnsi="宋体" w:eastAsia="宋体" w:cs="宋体"/>
          <w:color w:val="auto"/>
          <w:sz w:val="21"/>
          <w:szCs w:val="21"/>
          <w:highlight w:val="none"/>
          <w:lang w:val="en-US" w:eastAsia="zh-CN"/>
        </w:rPr>
        <w:t>6西区新城拓展区</w:t>
      </w:r>
      <w:r>
        <w:rPr>
          <w:rFonts w:hint="eastAsia" w:ascii="宋体" w:hAnsi="宋体" w:eastAsia="宋体" w:cs="宋体"/>
          <w:color w:val="auto"/>
          <w:sz w:val="21"/>
          <w:szCs w:val="21"/>
          <w:highlight w:val="none"/>
        </w:rPr>
        <w:t>控制性详细规划单元内】，四至为【东至真州路，南至润蜀南路，西至园林路，北至茶园路】</w:t>
      </w:r>
      <w:r>
        <w:rPr>
          <w:rFonts w:hint="eastAsia" w:ascii="宋体" w:hAnsi="宋体" w:eastAsia="宋体" w:cs="宋体"/>
          <w:color w:val="auto"/>
          <w:sz w:val="21"/>
          <w:szCs w:val="21"/>
          <w:highlight w:val="none"/>
          <w:lang w:eastAsia="zh-CN"/>
        </w:rPr>
        <w:t>。界址点坐标最终以《国有建设用地使用权出让合同》附件之《出让宗地界址图》为准。</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项目名称：GZ</w:t>
      </w:r>
      <w:r>
        <w:rPr>
          <w:rFonts w:hint="eastAsia" w:ascii="宋体" w:hAnsi="宋体" w:eastAsia="宋体" w:cs="宋体"/>
          <w:color w:val="auto"/>
          <w:sz w:val="21"/>
          <w:szCs w:val="21"/>
          <w:highlight w:val="none"/>
          <w:lang w:eastAsia="zh-CN"/>
        </w:rPr>
        <w:t>458</w:t>
      </w:r>
      <w:r>
        <w:rPr>
          <w:rFonts w:hint="eastAsia" w:ascii="宋体" w:hAnsi="宋体" w:eastAsia="宋体" w:cs="宋体"/>
          <w:color w:val="auto"/>
          <w:sz w:val="21"/>
          <w:szCs w:val="21"/>
          <w:highlight w:val="none"/>
        </w:rPr>
        <w:t xml:space="preserve">地块项目渠道推广服务 </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服务期限：【202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】月至【2024】年【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】月。甲方有权以书面通知变更前述时间（包括中止或重启），且无需因此向乙方支付任何补偿或赔偿。</w:t>
      </w:r>
    </w:p>
    <w:p>
      <w:pPr>
        <w:pStyle w:val="24"/>
        <w:numPr>
          <w:ilvl w:val="0"/>
          <w:numId w:val="0"/>
        </w:numPr>
        <w:spacing w:after="0"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 xml:space="preserve">1.4 </w:t>
      </w:r>
      <w:r>
        <w:rPr>
          <w:rFonts w:hint="eastAsia" w:ascii="宋体" w:hAnsi="宋体" w:eastAsia="宋体" w:cs="宋体"/>
          <w:color w:val="auto"/>
          <w:kern w:val="0"/>
          <w:sz w:val="21"/>
          <w:szCs w:val="21"/>
          <w:highlight w:val="none"/>
          <w:lang w:val="en-US" w:eastAsia="zh-CN" w:bidi="ar-SA"/>
        </w:rPr>
        <w:t>服务内容：</w:t>
      </w:r>
      <w:r>
        <w:rPr>
          <w:rFonts w:hint="eastAsia" w:ascii="宋体" w:hAnsi="宋体" w:eastAsia="宋体" w:cs="宋体"/>
          <w:color w:val="auto"/>
          <w:sz w:val="21"/>
          <w:szCs w:val="21"/>
          <w:highlight w:val="none"/>
        </w:rPr>
        <w:t>GZ</w:t>
      </w:r>
      <w:r>
        <w:rPr>
          <w:rFonts w:hint="eastAsia" w:ascii="宋体" w:hAnsi="宋体" w:eastAsia="宋体" w:cs="宋体"/>
          <w:color w:val="auto"/>
          <w:sz w:val="21"/>
          <w:szCs w:val="21"/>
          <w:highlight w:val="none"/>
          <w:lang w:eastAsia="zh-CN"/>
        </w:rPr>
        <w:t>458</w:t>
      </w:r>
      <w:r>
        <w:rPr>
          <w:rFonts w:hint="eastAsia" w:ascii="宋体" w:hAnsi="宋体" w:eastAsia="宋体" w:cs="宋体"/>
          <w:color w:val="auto"/>
          <w:sz w:val="21"/>
          <w:szCs w:val="21"/>
          <w:highlight w:val="none"/>
        </w:rPr>
        <w:t>地块</w:t>
      </w:r>
      <w:r>
        <w:rPr>
          <w:rFonts w:hint="eastAsia" w:ascii="宋体" w:hAnsi="宋体" w:cs="宋体"/>
          <w:color w:val="auto"/>
          <w:sz w:val="21"/>
          <w:szCs w:val="21"/>
          <w:highlight w:val="none"/>
          <w:lang w:val="en-US" w:eastAsia="zh-CN"/>
        </w:rPr>
        <w:t>项目渠道推广包含媒体推广、渠道拓客、活动推广、营销物料制作等内容，其中</w:t>
      </w:r>
      <w:r>
        <w:rPr>
          <w:rFonts w:hint="eastAsia" w:ascii="宋体" w:hAnsi="宋体" w:eastAsia="宋体" w:cs="宋体"/>
          <w:color w:val="auto"/>
          <w:sz w:val="21"/>
          <w:szCs w:val="21"/>
          <w:highlight w:val="none"/>
        </w:rPr>
        <w:t>媒体推广包含但不限于</w:t>
      </w:r>
      <w:r>
        <w:rPr>
          <w:rFonts w:hint="eastAsia" w:ascii="宋体" w:hAnsi="宋体" w:eastAsia="宋体" w:cs="宋体"/>
          <w:color w:val="auto"/>
          <w:sz w:val="21"/>
          <w:szCs w:val="21"/>
          <w:highlight w:val="none"/>
          <w:lang w:val="en-US" w:eastAsia="zh-CN"/>
        </w:rPr>
        <w:t>电视报道、电视节目硬广、电台节目宣传、房展会、专业媒体、生活媒体、户外大屏、户外大牌</w:t>
      </w:r>
      <w:r>
        <w:rPr>
          <w:rFonts w:hint="eastAsia" w:ascii="宋体" w:hAnsi="宋体" w:eastAsia="宋体" w:cs="宋体"/>
          <w:color w:val="auto"/>
          <w:sz w:val="21"/>
          <w:szCs w:val="21"/>
          <w:highlight w:val="none"/>
        </w:rPr>
        <w:t>、自媒体、抖音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大型活动冠名、宣传片拍摄制作</w:t>
      </w:r>
      <w:r>
        <w:rPr>
          <w:rFonts w:hint="eastAsia" w:ascii="宋体" w:hAnsi="宋体" w:eastAsia="宋体" w:cs="宋体"/>
          <w:color w:val="auto"/>
          <w:sz w:val="21"/>
          <w:szCs w:val="21"/>
          <w:highlight w:val="none"/>
        </w:rPr>
        <w:t>等形式媒体的传播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渠道拓客包含但不限于商超巡展、社区巡展、</w:t>
      </w:r>
      <w:r>
        <w:rPr>
          <w:rFonts w:hint="eastAsia" w:ascii="宋体" w:hAnsi="宋体" w:eastAsia="宋体" w:cs="宋体"/>
          <w:color w:val="auto"/>
          <w:sz w:val="21"/>
          <w:szCs w:val="21"/>
          <w:highlight w:val="none"/>
          <w:lang w:val="en-US" w:eastAsia="zh-CN"/>
        </w:rPr>
        <w:t>乡镇拓客、</w:t>
      </w:r>
      <w:r>
        <w:rPr>
          <w:rFonts w:hint="eastAsia" w:ascii="宋体" w:hAnsi="宋体" w:eastAsia="宋体" w:cs="宋体"/>
          <w:color w:val="auto"/>
          <w:sz w:val="21"/>
          <w:szCs w:val="21"/>
          <w:highlight w:val="none"/>
        </w:rPr>
        <w:t>展厅搭建及相应的拓客物料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val="en-US" w:eastAsia="zh-CN"/>
        </w:rPr>
        <w:t>推广</w:t>
      </w:r>
      <w:r>
        <w:rPr>
          <w:rFonts w:hint="eastAsia" w:ascii="宋体" w:hAnsi="宋体" w:eastAsia="宋体" w:cs="宋体"/>
          <w:color w:val="auto"/>
          <w:sz w:val="21"/>
          <w:szCs w:val="21"/>
          <w:highlight w:val="none"/>
        </w:rPr>
        <w:t>包含但不限于品牌活动、暖场活动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主题活动、圈层活动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营销</w:t>
      </w:r>
      <w:r>
        <w:rPr>
          <w:rFonts w:hint="eastAsia" w:ascii="宋体" w:hAnsi="宋体" w:eastAsia="宋体" w:cs="宋体"/>
          <w:color w:val="auto"/>
          <w:sz w:val="21"/>
          <w:szCs w:val="21"/>
          <w:highlight w:val="none"/>
        </w:rPr>
        <w:t>物料</w:t>
      </w:r>
      <w:r>
        <w:rPr>
          <w:rFonts w:hint="eastAsia" w:ascii="宋体" w:hAnsi="宋体" w:eastAsia="宋体" w:cs="宋体"/>
          <w:color w:val="auto"/>
          <w:sz w:val="21"/>
          <w:szCs w:val="21"/>
          <w:highlight w:val="none"/>
          <w:lang w:val="en-US" w:eastAsia="zh-CN"/>
        </w:rPr>
        <w:t>制作</w:t>
      </w:r>
      <w:r>
        <w:rPr>
          <w:rFonts w:hint="eastAsia" w:ascii="宋体" w:hAnsi="宋体" w:eastAsia="宋体" w:cs="宋体"/>
          <w:color w:val="auto"/>
          <w:sz w:val="21"/>
          <w:szCs w:val="21"/>
          <w:highlight w:val="none"/>
        </w:rPr>
        <w:t>包含但不限于日常物料印刷、项目效果图制作、成交及拓客等物料制作</w:t>
      </w:r>
      <w:r>
        <w:rPr>
          <w:rFonts w:hint="eastAsia" w:ascii="宋体" w:hAnsi="宋体" w:eastAsia="宋体" w:cs="宋体"/>
          <w:color w:val="auto"/>
          <w:kern w:val="0"/>
          <w:sz w:val="21"/>
          <w:szCs w:val="21"/>
          <w:highlight w:val="none"/>
          <w:lang w:val="en-US" w:eastAsia="zh-CN" w:bidi="ar-SA"/>
        </w:rPr>
        <w:t>。具体详见附件</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GZ458地块项目2024年渠道推广服务报价清单</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w:t>
      </w:r>
    </w:p>
    <w:p>
      <w:pPr>
        <w:pStyle w:val="13"/>
        <w:keepNext/>
        <w:keepLines/>
        <w:numPr>
          <w:ilvl w:val="0"/>
          <w:numId w:val="7"/>
        </w:numPr>
        <w:spacing w:before="0" w:after="0" w:line="360" w:lineRule="auto"/>
        <w:ind w:left="0"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服务具体要求 </w:t>
      </w:r>
    </w:p>
    <w:p>
      <w:pPr>
        <w:pStyle w:val="24"/>
        <w:numPr>
          <w:ilvl w:val="0"/>
          <w:numId w:val="0"/>
        </w:numPr>
        <w:spacing w:after="0"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GZ458项目2024年渠道推广方案</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包含但不限于</w:t>
      </w:r>
      <w:r>
        <w:rPr>
          <w:rFonts w:hint="eastAsia" w:ascii="宋体" w:hAnsi="宋体" w:cs="宋体"/>
          <w:color w:val="auto"/>
          <w:sz w:val="21"/>
          <w:szCs w:val="21"/>
          <w:highlight w:val="none"/>
          <w:lang w:val="en-US" w:eastAsia="zh-CN"/>
        </w:rPr>
        <w:t>本项目服务期限内的</w:t>
      </w:r>
      <w:r>
        <w:rPr>
          <w:rFonts w:hint="eastAsia" w:ascii="宋体" w:hAnsi="宋体" w:eastAsia="宋体" w:cs="宋体"/>
          <w:color w:val="auto"/>
          <w:sz w:val="21"/>
          <w:szCs w:val="21"/>
          <w:highlight w:val="none"/>
          <w:lang w:val="en-US" w:eastAsia="zh-CN"/>
        </w:rPr>
        <w:t>媒体推广、</w:t>
      </w:r>
      <w:r>
        <w:rPr>
          <w:rFonts w:hint="eastAsia" w:ascii="宋体" w:hAnsi="宋体" w:eastAsia="宋体" w:cs="宋体"/>
          <w:color w:val="auto"/>
          <w:sz w:val="21"/>
          <w:szCs w:val="21"/>
          <w:highlight w:val="none"/>
        </w:rPr>
        <w:t>渠道拓客、活动</w:t>
      </w:r>
      <w:r>
        <w:rPr>
          <w:rFonts w:hint="eastAsia" w:ascii="宋体" w:hAnsi="宋体" w:eastAsia="宋体" w:cs="宋体"/>
          <w:color w:val="auto"/>
          <w:sz w:val="21"/>
          <w:szCs w:val="21"/>
          <w:highlight w:val="none"/>
          <w:lang w:val="en-US" w:eastAsia="zh-CN"/>
        </w:rPr>
        <w:t>推广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营销</w:t>
      </w:r>
      <w:r>
        <w:rPr>
          <w:rFonts w:hint="eastAsia" w:ascii="宋体" w:hAnsi="宋体" w:eastAsia="宋体" w:cs="宋体"/>
          <w:color w:val="auto"/>
          <w:sz w:val="21"/>
          <w:szCs w:val="21"/>
          <w:highlight w:val="none"/>
        </w:rPr>
        <w:t>物料</w:t>
      </w:r>
      <w:r>
        <w:rPr>
          <w:rFonts w:hint="eastAsia" w:ascii="宋体" w:hAnsi="宋体" w:eastAsia="宋体" w:cs="宋体"/>
          <w:color w:val="auto"/>
          <w:sz w:val="21"/>
          <w:szCs w:val="21"/>
          <w:highlight w:val="none"/>
          <w:lang w:val="en-US" w:eastAsia="zh-CN"/>
        </w:rPr>
        <w:t>制作等推广方案</w:t>
      </w:r>
      <w:r>
        <w:rPr>
          <w:rFonts w:hint="eastAsia" w:ascii="宋体" w:hAnsi="宋体" w:cs="宋体"/>
          <w:color w:val="auto"/>
          <w:sz w:val="21"/>
          <w:szCs w:val="21"/>
          <w:highlight w:val="none"/>
          <w:lang w:val="en-US" w:eastAsia="zh-CN"/>
        </w:rPr>
        <w:t>，推广方案与附件2内容相匹配</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SA"/>
        </w:rPr>
        <w:t>乙方需于每月20日前提供次月《月度推广方案》，内含次月涉及的各项推广活动详细方案及费用预算，报甲方确认后实施。</w:t>
      </w:r>
    </w:p>
    <w:p>
      <w:pPr>
        <w:pStyle w:val="24"/>
        <w:numPr>
          <w:ilvl w:val="0"/>
          <w:numId w:val="0"/>
        </w:numPr>
        <w:spacing w:after="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SA"/>
        </w:rPr>
        <w:t xml:space="preserve">2.1 </w:t>
      </w:r>
      <w:r>
        <w:rPr>
          <w:rFonts w:hint="eastAsia" w:ascii="宋体" w:hAnsi="宋体" w:eastAsia="宋体" w:cs="宋体"/>
          <w:color w:val="auto"/>
          <w:sz w:val="21"/>
          <w:szCs w:val="21"/>
          <w:highlight w:val="none"/>
        </w:rPr>
        <w:t>渠道拓客</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包含但不限于商超巡展、社区巡展、</w:t>
      </w:r>
      <w:r>
        <w:rPr>
          <w:rFonts w:hint="eastAsia" w:ascii="宋体" w:hAnsi="宋体" w:cs="宋体"/>
          <w:color w:val="auto"/>
          <w:sz w:val="21"/>
          <w:szCs w:val="21"/>
          <w:highlight w:val="none"/>
          <w:lang w:val="en-US" w:eastAsia="zh-CN"/>
        </w:rPr>
        <w:t>企业巡展、小蜜蜂等临时兼职等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具体不得低于以下要求：</w:t>
      </w:r>
    </w:p>
    <w:p>
      <w:pPr>
        <w:pStyle w:val="24"/>
        <w:numPr>
          <w:ilvl w:val="0"/>
          <w:numId w:val="0"/>
        </w:numPr>
        <w:spacing w:after="0" w:line="360" w:lineRule="auto"/>
        <w:ind w:left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2.1.1 </w:t>
      </w:r>
      <w:r>
        <w:rPr>
          <w:rFonts w:hint="eastAsia" w:ascii="宋体" w:hAnsi="宋体" w:eastAsia="宋体" w:cs="宋体"/>
          <w:color w:val="auto"/>
          <w:sz w:val="21"/>
          <w:szCs w:val="21"/>
          <w:highlight w:val="none"/>
        </w:rPr>
        <w:t>商超巡展：</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eastAsia="宋体" w:cs="宋体"/>
          <w:color w:val="auto"/>
          <w:sz w:val="21"/>
          <w:szCs w:val="21"/>
          <w:highlight w:val="none"/>
        </w:rPr>
        <w:t>展点展位</w:t>
      </w:r>
      <w:r>
        <w:rPr>
          <w:rFonts w:hint="eastAsia" w:ascii="宋体" w:hAnsi="宋体" w:cs="宋体"/>
          <w:color w:val="auto"/>
          <w:sz w:val="21"/>
          <w:szCs w:val="21"/>
          <w:highlight w:val="none"/>
          <w:lang w:val="en-US" w:eastAsia="zh-CN"/>
        </w:rPr>
        <w:t>租赁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相关</w:t>
      </w:r>
      <w:r>
        <w:rPr>
          <w:rFonts w:hint="eastAsia" w:ascii="宋体" w:hAnsi="宋体" w:cs="宋体"/>
          <w:color w:val="auto"/>
          <w:sz w:val="21"/>
          <w:szCs w:val="21"/>
          <w:highlight w:val="none"/>
          <w:lang w:val="en-US" w:eastAsia="zh-CN"/>
        </w:rPr>
        <w:t>展点物料</w:t>
      </w:r>
      <w:r>
        <w:rPr>
          <w:rFonts w:hint="eastAsia" w:ascii="宋体" w:hAnsi="宋体" w:eastAsia="宋体" w:cs="宋体"/>
          <w:color w:val="auto"/>
          <w:sz w:val="21"/>
          <w:szCs w:val="21"/>
          <w:highlight w:val="none"/>
        </w:rPr>
        <w:t>制作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到访小礼品等相关费用；</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时间要求：项目首次开盘前，巡展时间不少于4个月；</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京华城等主流商场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大型购物中心核心位置。</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 社区巡展</w:t>
      </w:r>
      <w:r>
        <w:rPr>
          <w:rFonts w:hint="eastAsia" w:ascii="宋体" w:hAnsi="宋体" w:cs="宋体"/>
          <w:color w:val="auto"/>
          <w:sz w:val="21"/>
          <w:szCs w:val="21"/>
          <w:highlight w:val="none"/>
          <w:lang w:eastAsia="zh-CN"/>
        </w:rPr>
        <w:t>：</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cs="宋体"/>
          <w:color w:val="auto"/>
          <w:sz w:val="21"/>
          <w:szCs w:val="21"/>
          <w:highlight w:val="none"/>
          <w:lang w:val="en-US" w:eastAsia="zh-CN"/>
        </w:rPr>
        <w:t>社区活动、展位租赁、社区路演等巡展活动，含</w:t>
      </w:r>
      <w:r>
        <w:rPr>
          <w:rFonts w:hint="eastAsia" w:ascii="宋体" w:hAnsi="宋体" w:eastAsia="宋体" w:cs="宋体"/>
          <w:color w:val="auto"/>
          <w:sz w:val="21"/>
          <w:szCs w:val="21"/>
          <w:highlight w:val="none"/>
        </w:rPr>
        <w:t>展点展位制作</w:t>
      </w:r>
      <w:r>
        <w:rPr>
          <w:rFonts w:hint="eastAsia" w:ascii="宋体" w:hAnsi="宋体" w:cs="宋体"/>
          <w:color w:val="auto"/>
          <w:sz w:val="21"/>
          <w:szCs w:val="21"/>
          <w:highlight w:val="none"/>
          <w:lang w:val="en-US" w:eastAsia="zh-CN"/>
        </w:rPr>
        <w:t>等相关费用；</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w:t>
      </w:r>
      <w:r>
        <w:rPr>
          <w:rFonts w:hint="eastAsia" w:ascii="宋体" w:hAnsi="宋体" w:cs="宋体"/>
          <w:color w:val="auto"/>
          <w:sz w:val="21"/>
          <w:szCs w:val="21"/>
          <w:highlight w:val="none"/>
          <w:lang w:val="en-US" w:eastAsia="zh-CN"/>
        </w:rPr>
        <w:t>开盘及重大节点</w:t>
      </w:r>
      <w:r>
        <w:rPr>
          <w:rFonts w:hint="eastAsia" w:ascii="宋体" w:hAnsi="宋体" w:eastAsia="宋体" w:cs="宋体"/>
          <w:color w:val="auto"/>
          <w:sz w:val="21"/>
          <w:szCs w:val="21"/>
          <w:highlight w:val="none"/>
          <w:lang w:val="en-US" w:eastAsia="zh-CN"/>
        </w:rPr>
        <w:t>，巡展时间不少于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cs="宋体"/>
          <w:color w:val="auto"/>
          <w:sz w:val="21"/>
          <w:szCs w:val="21"/>
          <w:highlight w:val="none"/>
          <w:lang w:val="en-US" w:eastAsia="zh-CN"/>
        </w:rPr>
        <w:t>项目辐射范围内优质社区</w:t>
      </w:r>
      <w:r>
        <w:rPr>
          <w:rFonts w:hint="eastAsia" w:ascii="宋体" w:hAnsi="宋体" w:eastAsia="宋体" w:cs="宋体"/>
          <w:color w:val="auto"/>
          <w:sz w:val="21"/>
          <w:szCs w:val="21"/>
          <w:highlight w:val="none"/>
          <w:lang w:val="en-US" w:eastAsia="zh-CN"/>
        </w:rPr>
        <w:t>。</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2.2.3 企业巡展</w:t>
      </w:r>
      <w:r>
        <w:rPr>
          <w:rFonts w:hint="eastAsia" w:ascii="宋体" w:hAnsi="宋体" w:cs="宋体"/>
          <w:color w:val="auto"/>
          <w:sz w:val="21"/>
          <w:szCs w:val="21"/>
          <w:highlight w:val="none"/>
          <w:lang w:eastAsia="zh-CN"/>
        </w:rPr>
        <w:t>：</w:t>
      </w:r>
    </w:p>
    <w:p>
      <w:pPr>
        <w:pStyle w:val="24"/>
        <w:numPr>
          <w:ilvl w:val="0"/>
          <w:numId w:val="1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cs="宋体"/>
          <w:color w:val="auto"/>
          <w:sz w:val="21"/>
          <w:szCs w:val="21"/>
          <w:highlight w:val="none"/>
          <w:lang w:val="en-US" w:eastAsia="zh-CN"/>
        </w:rPr>
        <w:t>巡展展点租赁、物料</w:t>
      </w:r>
      <w:r>
        <w:rPr>
          <w:rFonts w:hint="eastAsia" w:ascii="宋体" w:hAnsi="宋体" w:eastAsia="宋体" w:cs="宋体"/>
          <w:color w:val="auto"/>
          <w:sz w:val="21"/>
          <w:szCs w:val="21"/>
          <w:highlight w:val="none"/>
        </w:rPr>
        <w:t>制作</w:t>
      </w:r>
      <w:r>
        <w:rPr>
          <w:rFonts w:hint="eastAsia" w:ascii="宋体" w:hAnsi="宋体" w:cs="宋体"/>
          <w:color w:val="auto"/>
          <w:sz w:val="21"/>
          <w:szCs w:val="21"/>
          <w:highlight w:val="none"/>
          <w:lang w:val="en-US" w:eastAsia="zh-CN"/>
        </w:rPr>
        <w:t>等相关费用；</w:t>
      </w:r>
    </w:p>
    <w:p>
      <w:pPr>
        <w:pStyle w:val="24"/>
        <w:numPr>
          <w:ilvl w:val="0"/>
          <w:numId w:val="1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w:t>
      </w:r>
      <w:r>
        <w:rPr>
          <w:rFonts w:hint="eastAsia" w:ascii="宋体" w:hAnsi="宋体" w:cs="宋体"/>
          <w:color w:val="auto"/>
          <w:sz w:val="21"/>
          <w:szCs w:val="21"/>
          <w:highlight w:val="none"/>
          <w:lang w:val="en-US" w:eastAsia="zh-CN"/>
        </w:rPr>
        <w:t>开盘及重大节点</w:t>
      </w:r>
      <w:r>
        <w:rPr>
          <w:rFonts w:hint="eastAsia" w:ascii="宋体" w:hAnsi="宋体" w:eastAsia="宋体" w:cs="宋体"/>
          <w:color w:val="auto"/>
          <w:sz w:val="21"/>
          <w:szCs w:val="21"/>
          <w:highlight w:val="none"/>
          <w:lang w:val="en-US" w:eastAsia="zh-CN"/>
        </w:rPr>
        <w:t>，巡展时间不少于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w:t>
      </w:r>
    </w:p>
    <w:p>
      <w:pPr>
        <w:pStyle w:val="24"/>
        <w:numPr>
          <w:ilvl w:val="0"/>
          <w:numId w:val="10"/>
        </w:numPr>
        <w:spacing w:after="0" w:line="360" w:lineRule="auto"/>
        <w:ind w:left="0" w:leftChars="0" w:firstLine="420" w:firstLineChars="200"/>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cs="宋体"/>
          <w:color w:val="auto"/>
          <w:sz w:val="21"/>
          <w:szCs w:val="21"/>
          <w:highlight w:val="none"/>
          <w:lang w:val="en-US" w:eastAsia="zh-CN"/>
        </w:rPr>
        <w:t>项目辐射范围内优质企业</w:t>
      </w:r>
      <w:r>
        <w:rPr>
          <w:rFonts w:hint="eastAsia" w:ascii="宋体" w:hAnsi="宋体" w:eastAsia="宋体" w:cs="宋体"/>
          <w:color w:val="auto"/>
          <w:sz w:val="21"/>
          <w:szCs w:val="21"/>
          <w:highlight w:val="none"/>
          <w:lang w:val="en-US" w:eastAsia="zh-CN"/>
        </w:rPr>
        <w:t>。</w:t>
      </w:r>
    </w:p>
    <w:p>
      <w:pPr>
        <w:pStyle w:val="24"/>
        <w:numPr>
          <w:ilvl w:val="0"/>
          <w:numId w:val="0"/>
        </w:numPr>
        <w:spacing w:after="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 活动推广要求：活动推广应</w:t>
      </w:r>
      <w:r>
        <w:rPr>
          <w:rFonts w:hint="eastAsia" w:ascii="宋体" w:hAnsi="宋体" w:eastAsia="宋体" w:cs="宋体"/>
          <w:color w:val="auto"/>
          <w:sz w:val="21"/>
          <w:szCs w:val="21"/>
          <w:highlight w:val="none"/>
        </w:rPr>
        <w:t>包含但不限于品牌活动、暖场活动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主题活动、圈层活动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活动种类、频次及规模不得低于以下要求：</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2.2.1 </w:t>
      </w:r>
      <w:r>
        <w:rPr>
          <w:rFonts w:hint="eastAsia" w:ascii="宋体" w:hAnsi="宋体" w:eastAsia="宋体" w:cs="宋体"/>
          <w:color w:val="auto"/>
          <w:sz w:val="21"/>
          <w:szCs w:val="21"/>
          <w:highlight w:val="none"/>
          <w:lang w:val="en-US" w:eastAsia="zh-CN"/>
        </w:rPr>
        <w:t>维投地产</w:t>
      </w:r>
      <w:r>
        <w:rPr>
          <w:rFonts w:hint="eastAsia" w:ascii="宋体" w:hAnsi="宋体" w:eastAsia="宋体" w:cs="宋体"/>
          <w:color w:val="auto"/>
          <w:sz w:val="21"/>
          <w:szCs w:val="21"/>
          <w:highlight w:val="none"/>
        </w:rPr>
        <w:t>品牌活动</w:t>
      </w:r>
      <w:r>
        <w:rPr>
          <w:rFonts w:hint="eastAsia" w:ascii="宋体" w:hAnsi="宋体" w:cs="宋体"/>
          <w:color w:val="auto"/>
          <w:sz w:val="21"/>
          <w:szCs w:val="21"/>
          <w:highlight w:val="none"/>
          <w:lang w:eastAsia="zh-CN"/>
        </w:rPr>
        <w:t>：</w:t>
      </w:r>
    </w:p>
    <w:p>
      <w:pPr>
        <w:pStyle w:val="24"/>
        <w:numPr>
          <w:ilvl w:val="0"/>
          <w:numId w:val="11"/>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要求活动人数不低于50人</w:t>
      </w:r>
      <w:r>
        <w:rPr>
          <w:rFonts w:hint="eastAsia" w:ascii="宋体" w:hAnsi="宋体" w:eastAsia="宋体" w:cs="宋体"/>
          <w:color w:val="auto"/>
          <w:sz w:val="21"/>
          <w:szCs w:val="21"/>
          <w:highlight w:val="none"/>
          <w:lang w:eastAsia="zh-CN"/>
        </w:rPr>
        <w:t>；</w:t>
      </w:r>
    </w:p>
    <w:p>
      <w:pPr>
        <w:pStyle w:val="24"/>
        <w:numPr>
          <w:ilvl w:val="0"/>
          <w:numId w:val="11"/>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不少于10家媒体</w:t>
      </w:r>
      <w:r>
        <w:rPr>
          <w:rFonts w:hint="eastAsia" w:ascii="宋体" w:hAnsi="宋体" w:eastAsia="宋体" w:cs="宋体"/>
          <w:color w:val="auto"/>
          <w:sz w:val="21"/>
          <w:szCs w:val="21"/>
          <w:highlight w:val="none"/>
          <w:lang w:val="en-US" w:eastAsia="zh-CN"/>
        </w:rPr>
        <w:t>参与并进行报道</w:t>
      </w:r>
      <w:r>
        <w:rPr>
          <w:rFonts w:hint="eastAsia" w:ascii="宋体" w:hAnsi="宋体" w:eastAsia="宋体" w:cs="宋体"/>
          <w:color w:val="auto"/>
          <w:sz w:val="21"/>
          <w:szCs w:val="21"/>
          <w:highlight w:val="none"/>
          <w:lang w:eastAsia="zh-CN"/>
        </w:rPr>
        <w:t>；</w:t>
      </w:r>
    </w:p>
    <w:p>
      <w:pPr>
        <w:pStyle w:val="24"/>
        <w:numPr>
          <w:ilvl w:val="0"/>
          <w:numId w:val="11"/>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扬州市内四星级及以上酒店举办</w:t>
      </w:r>
      <w:r>
        <w:rPr>
          <w:rFonts w:hint="eastAsia" w:ascii="宋体" w:hAnsi="宋体" w:eastAsia="宋体" w:cs="宋体"/>
          <w:color w:val="auto"/>
          <w:sz w:val="21"/>
          <w:szCs w:val="21"/>
          <w:highlight w:val="none"/>
          <w:lang w:eastAsia="zh-CN"/>
        </w:rPr>
        <w:t>。</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2.2.2 </w:t>
      </w:r>
      <w:r>
        <w:rPr>
          <w:rFonts w:hint="eastAsia" w:ascii="宋体" w:hAnsi="宋体" w:eastAsia="宋体" w:cs="宋体"/>
          <w:color w:val="auto"/>
          <w:sz w:val="21"/>
          <w:szCs w:val="21"/>
          <w:highlight w:val="none"/>
        </w:rPr>
        <w:t>板块区位价值论坛</w:t>
      </w:r>
      <w:r>
        <w:rPr>
          <w:rFonts w:hint="eastAsia" w:ascii="宋体" w:hAnsi="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要求活动人数不低于50人</w:t>
      </w:r>
      <w:r>
        <w:rPr>
          <w:rFonts w:hint="eastAsia" w:ascii="宋体" w:hAnsi="宋体" w:eastAsia="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邀请4位以上专家学者参与并论坛研讨，并邀请不少于10家媒体参与并进行报道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案名解析会</w:t>
      </w:r>
      <w:r>
        <w:rPr>
          <w:rFonts w:hint="eastAsia" w:ascii="宋体" w:hAnsi="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邀请4位以上文化名人参与并案名解析，并邀请不少于10家媒体参与并进行报道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扬州市内四星级及以上酒店举办。</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2.2.4 </w:t>
      </w:r>
      <w:r>
        <w:rPr>
          <w:rFonts w:hint="eastAsia" w:ascii="宋体" w:hAnsi="宋体" w:eastAsia="宋体" w:cs="宋体"/>
          <w:color w:val="auto"/>
          <w:sz w:val="21"/>
          <w:szCs w:val="21"/>
          <w:highlight w:val="none"/>
        </w:rPr>
        <w:t>售楼处及样板房开放活动</w:t>
      </w:r>
      <w:r>
        <w:rPr>
          <w:rFonts w:hint="eastAsia" w:ascii="宋体" w:hAnsi="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2.2.5 </w:t>
      </w:r>
      <w:r>
        <w:rPr>
          <w:rFonts w:hint="eastAsia" w:ascii="宋体" w:hAnsi="宋体" w:eastAsia="宋体" w:cs="宋体"/>
          <w:color w:val="auto"/>
          <w:sz w:val="21"/>
          <w:szCs w:val="21"/>
          <w:highlight w:val="none"/>
        </w:rPr>
        <w:t>项目产品说明会</w:t>
      </w:r>
      <w:r>
        <w:rPr>
          <w:rFonts w:hint="eastAsia" w:ascii="宋体" w:hAnsi="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left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2.2.6 </w:t>
      </w:r>
      <w:r>
        <w:rPr>
          <w:rFonts w:hint="eastAsia" w:ascii="宋体" w:hAnsi="宋体" w:eastAsia="宋体" w:cs="宋体"/>
          <w:color w:val="auto"/>
          <w:sz w:val="21"/>
          <w:szCs w:val="21"/>
          <w:highlight w:val="none"/>
        </w:rPr>
        <w:t>项目开盘活动</w:t>
      </w:r>
      <w:r>
        <w:rPr>
          <w:rFonts w:hint="eastAsia" w:ascii="宋体" w:hAnsi="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lang w:val="en-US" w:eastAsia="zh-CN"/>
        </w:rPr>
        <w:t>场地要求：售楼处或者示范区布置场地。</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2.2.7 </w:t>
      </w:r>
      <w:r>
        <w:rPr>
          <w:rFonts w:hint="eastAsia" w:ascii="宋体" w:hAnsi="宋体" w:eastAsia="宋体" w:cs="宋体"/>
          <w:color w:val="auto"/>
          <w:sz w:val="21"/>
          <w:szCs w:val="21"/>
          <w:highlight w:val="none"/>
        </w:rPr>
        <w:t>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服务期内</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按周</w:t>
      </w:r>
      <w:r>
        <w:rPr>
          <w:rFonts w:hint="eastAsia" w:ascii="宋体" w:hAnsi="宋体" w:eastAsia="宋体" w:cs="宋体"/>
          <w:color w:val="auto"/>
          <w:sz w:val="21"/>
          <w:szCs w:val="21"/>
          <w:highlight w:val="none"/>
        </w:rPr>
        <w:t>举办暖场活动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特殊节点如国庆、元旦、春节等需举办节日系列暖场活动</w:t>
      </w:r>
      <w:r>
        <w:rPr>
          <w:rFonts w:hint="eastAsia" w:ascii="宋体" w:hAnsi="宋体" w:cs="宋体"/>
          <w:color w:val="auto"/>
          <w:sz w:val="21"/>
          <w:szCs w:val="21"/>
          <w:highlight w:val="none"/>
          <w:lang w:val="en-US" w:eastAsia="zh-CN"/>
        </w:rPr>
        <w:t>，活动形式不限于：各类DIY活动、嘉年华活动、讲座活动、品鉴活动、节点主题活动等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2.2.8 圈层活动：</w:t>
      </w:r>
      <w:r>
        <w:rPr>
          <w:rFonts w:hint="eastAsia" w:ascii="宋体" w:hAnsi="宋体" w:eastAsia="宋体" w:cs="宋体"/>
          <w:color w:val="auto"/>
          <w:sz w:val="21"/>
          <w:szCs w:val="21"/>
          <w:highlight w:val="none"/>
        </w:rPr>
        <w:t>服务期内</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甲方需求</w:t>
      </w:r>
      <w:r>
        <w:rPr>
          <w:rFonts w:hint="eastAsia" w:ascii="宋体" w:hAnsi="宋体" w:eastAsia="宋体" w:cs="宋体"/>
          <w:color w:val="auto"/>
          <w:sz w:val="21"/>
          <w:szCs w:val="21"/>
          <w:highlight w:val="none"/>
        </w:rPr>
        <w:t>举办</w:t>
      </w:r>
      <w:r>
        <w:rPr>
          <w:rFonts w:hint="eastAsia" w:ascii="宋体" w:hAnsi="宋体" w:cs="宋体"/>
          <w:color w:val="auto"/>
          <w:sz w:val="21"/>
          <w:szCs w:val="21"/>
          <w:highlight w:val="none"/>
          <w:lang w:val="en-US" w:eastAsia="zh-CN"/>
        </w:rPr>
        <w:t>圈层</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针对大客户、圈层客户、商会客户、业主等组织的各类活动。形式不限于：业主家宴、业主回馈、运动会、特色主题活动等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pStyle w:val="13"/>
        <w:keepNext/>
        <w:keepLines/>
        <w:numPr>
          <w:ilvl w:val="0"/>
          <w:numId w:val="7"/>
        </w:numPr>
        <w:spacing w:before="0" w:after="0" w:line="360" w:lineRule="auto"/>
        <w:ind w:left="0"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服务费用和支付方式</w:t>
      </w:r>
    </w:p>
    <w:p>
      <w:pPr>
        <w:pStyle w:val="24"/>
        <w:numPr>
          <w:ilvl w:val="0"/>
          <w:numId w:val="0"/>
        </w:numPr>
        <w:spacing w:after="0" w:line="360" w:lineRule="auto"/>
        <w:ind w:left="0" w:leftChars="0"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 服务费用：</w:t>
      </w:r>
      <w:r>
        <w:rPr>
          <w:rFonts w:hint="eastAsia" w:ascii="宋体" w:hAnsi="宋体" w:eastAsia="宋体" w:cs="宋体"/>
          <w:color w:val="auto"/>
          <w:sz w:val="21"/>
          <w:szCs w:val="21"/>
          <w:highlight w:val="none"/>
          <w:lang w:val="en-US" w:eastAsia="zh-CN"/>
        </w:rPr>
        <w:t>本合同服务费用暂定总价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w:t>
      </w:r>
      <w:r>
        <w:rPr>
          <w:rFonts w:hint="eastAsia" w:ascii="宋体" w:hAnsi="宋体" w:cs="宋体"/>
          <w:color w:val="auto"/>
          <w:sz w:val="21"/>
          <w:szCs w:val="21"/>
          <w:highlight w:val="none"/>
          <w:lang w:val="en-US" w:eastAsia="zh-CN"/>
        </w:rPr>
        <w:t>其中不含税总价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万元，税金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万元（增值税专用发票，税率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由媒体推广费、渠道拓客费、活动推广费、营销物料制作费构成，具体详见附件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GZ458地块项目2024年渠道推广服务报价清单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pPr>
        <w:pStyle w:val="24"/>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3.1.1 媒体推广费为固定总价，根据乙方提报媒体推广方案总价包干，总价内包含但不限于媒体推广的方案策划、执行，活动器材、物料购胃制作，推广相关的印刷制作、礼品采购，场地、灯光布置、摄影摄像、视频制作，主持组织、参与人员引导，邀请主持人、演艺人员、特别嘉宾，人工劳务费(含所有人员的出场费或报酬、撤场费、食宿费等)，，运输费、装卸费、安装费、媒介费、管理费、利润、税金及合同履行期间内价格的涨幅等所有费用。乙方按投标文件内方案及清单数量实施媒体推广工作，实际履约过程中遇到</w:t>
      </w:r>
      <w:r>
        <w:rPr>
          <w:rFonts w:hint="eastAsia" w:ascii="宋体" w:hAnsi="宋体" w:eastAsia="宋体" w:cs="宋体"/>
          <w:color w:val="auto"/>
          <w:sz w:val="21"/>
          <w:szCs w:val="21"/>
          <w:highlight w:val="none"/>
          <w:lang w:val="en-US" w:eastAsia="zh-CN"/>
        </w:rPr>
        <w:t>地方矛盾或其它一切未知因素，导致清单数量增加或减少的，数量增加费用不调整，数量减少从媒体推广总价中扣除。</w:t>
      </w:r>
    </w:p>
    <w:p>
      <w:pPr>
        <w:pStyle w:val="24"/>
        <w:spacing w:after="0" w:line="360" w:lineRule="auto"/>
        <w:ind w:left="0" w:lef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 渠道拓客费、活动推广费为固定单价，根据实际发生数量按实结算。固定单价为全费用</w:t>
      </w:r>
      <w:r>
        <w:rPr>
          <w:rFonts w:hint="eastAsia" w:ascii="宋体" w:hAnsi="宋体" w:cs="宋体"/>
          <w:color w:val="auto"/>
          <w:kern w:val="0"/>
          <w:sz w:val="21"/>
          <w:szCs w:val="21"/>
          <w:highlight w:val="none"/>
          <w:lang w:val="en-US" w:eastAsia="zh-CN" w:bidi="ar-SA"/>
        </w:rPr>
        <w:t>综合</w:t>
      </w:r>
      <w:r>
        <w:rPr>
          <w:rFonts w:hint="eastAsia" w:ascii="宋体" w:hAnsi="宋体" w:eastAsia="宋体" w:cs="宋体"/>
          <w:color w:val="auto"/>
          <w:kern w:val="0"/>
          <w:sz w:val="21"/>
          <w:szCs w:val="21"/>
          <w:highlight w:val="none"/>
          <w:lang w:val="en-US" w:eastAsia="zh-CN" w:bidi="ar-SA"/>
        </w:rPr>
        <w:t>单价，包含完成渠道拓客或活动推广</w:t>
      </w:r>
      <w:r>
        <w:rPr>
          <w:rFonts w:hint="eastAsia" w:ascii="宋体" w:hAnsi="宋体" w:cs="宋体"/>
          <w:color w:val="auto"/>
          <w:kern w:val="0"/>
          <w:sz w:val="21"/>
          <w:szCs w:val="21"/>
          <w:highlight w:val="none"/>
          <w:lang w:val="en-US" w:eastAsia="zh-CN" w:bidi="ar-SA"/>
        </w:rPr>
        <w:t>或营销物料制作各子项</w:t>
      </w:r>
      <w:r>
        <w:rPr>
          <w:rFonts w:hint="eastAsia" w:ascii="宋体" w:hAnsi="宋体" w:eastAsia="宋体" w:cs="宋体"/>
          <w:color w:val="auto"/>
          <w:kern w:val="0"/>
          <w:sz w:val="21"/>
          <w:szCs w:val="21"/>
          <w:highlight w:val="none"/>
          <w:lang w:val="en-US" w:eastAsia="zh-CN" w:bidi="ar-SA"/>
        </w:rPr>
        <w:t>工作</w:t>
      </w:r>
      <w:r>
        <w:rPr>
          <w:rFonts w:hint="eastAsia" w:ascii="宋体" w:hAnsi="宋体" w:cs="宋体"/>
          <w:color w:val="auto"/>
          <w:kern w:val="0"/>
          <w:sz w:val="21"/>
          <w:szCs w:val="21"/>
          <w:highlight w:val="none"/>
          <w:lang w:val="en-US" w:eastAsia="zh-CN" w:bidi="ar-SA"/>
        </w:rPr>
        <w:t>中涉及</w:t>
      </w:r>
      <w:r>
        <w:rPr>
          <w:rFonts w:hint="eastAsia" w:ascii="宋体" w:hAnsi="宋体" w:cs="宋体"/>
          <w:color w:val="auto"/>
          <w:sz w:val="21"/>
          <w:szCs w:val="21"/>
          <w:highlight w:val="none"/>
          <w:lang w:val="en-US" w:eastAsia="zh-CN"/>
        </w:rPr>
        <w:t>的方案策划、执行，活动器材、物料购置制作，推广相关的印刷制作、礼品采购，场地、灯光布置、摄影摄像、视频制作，主持组织、参与人员引导，邀请主持人、演艺人员、特别嘉宾，人工劳务费（含所有人员的出场费或报酬、撤场费、食宿费等），运输费、装卸费、安装费、媒介费、管理费、利润、税金及合同履行期间内价格的涨幅等所有费用</w:t>
      </w:r>
      <w:r>
        <w:rPr>
          <w:rFonts w:hint="eastAsia" w:ascii="宋体" w:hAnsi="宋体" w:eastAsia="宋体" w:cs="宋体"/>
          <w:color w:val="auto"/>
          <w:kern w:val="0"/>
          <w:sz w:val="21"/>
          <w:szCs w:val="21"/>
          <w:highlight w:val="none"/>
          <w:lang w:val="en-US" w:eastAsia="zh-CN" w:bidi="ar-SA"/>
        </w:rPr>
        <w:t>。</w:t>
      </w:r>
    </w:p>
    <w:p>
      <w:pPr>
        <w:rPr>
          <w:rFonts w:hint="eastAsia"/>
          <w:lang w:val="en-US" w:eastAsia="zh-CN"/>
        </w:rPr>
      </w:pPr>
      <w:r>
        <w:rPr>
          <w:rFonts w:hint="eastAsia"/>
          <w:lang w:val="en-US" w:eastAsia="zh-CN"/>
        </w:rPr>
        <w:t>最终结算价如高于渠道拓客或活动推广合同价，则仍按合同价结算支付。</w:t>
      </w:r>
    </w:p>
    <w:p>
      <w:pPr>
        <w:pStyle w:val="24"/>
        <w:spacing w:after="0" w:line="360" w:lineRule="auto"/>
        <w:ind w:left="0" w:leftChars="0"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 xml:space="preserve">3.1.3 </w:t>
      </w:r>
      <w:r>
        <w:rPr>
          <w:rFonts w:hint="eastAsia" w:ascii="宋体" w:hAnsi="宋体" w:eastAsia="宋体" w:cs="宋体"/>
          <w:color w:val="auto"/>
          <w:kern w:val="0"/>
          <w:sz w:val="21"/>
          <w:szCs w:val="21"/>
          <w:highlight w:val="none"/>
          <w:lang w:val="en-US" w:eastAsia="zh-CN" w:bidi="ar-SA"/>
        </w:rPr>
        <w:t>营销物料制作费为固定单价，合同实际履行中，按每批次采购需求的品类、数量及固定单价确定每批次实际采购费用，且不得高于上限控制费用。固定单价=清单附表基准价×（1-</w:t>
      </w:r>
      <w:r>
        <w:rPr>
          <w:rFonts w:hint="eastAsia" w:ascii="宋体" w:hAnsi="宋体" w:eastAsia="宋体" w:cs="宋体"/>
          <w:color w:val="auto"/>
          <w:kern w:val="0"/>
          <w:sz w:val="21"/>
          <w:szCs w:val="21"/>
          <w:highlight w:val="none"/>
          <w:u w:val="single"/>
          <w:lang w:val="en-US" w:eastAsia="zh-CN" w:bidi="ar-SA"/>
        </w:rPr>
        <w:t xml:space="preserve"> （投标下浮率）  </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，固定单价为全费用综合单价单价，包含购置物料的各项费用、税金及合同期内的价格涨幅等所有费用</w:t>
      </w:r>
      <w:r>
        <w:rPr>
          <w:rFonts w:hint="eastAsia" w:ascii="宋体" w:hAnsi="宋体" w:cs="宋体"/>
          <w:color w:val="auto"/>
          <w:sz w:val="21"/>
          <w:szCs w:val="21"/>
          <w:highlight w:val="none"/>
          <w:lang w:val="en-US" w:eastAsia="zh-CN"/>
        </w:rPr>
        <w:t>。</w:t>
      </w:r>
      <w:r>
        <w:rPr>
          <w:rFonts w:hint="eastAsia" w:ascii="宋体" w:hAnsi="宋体" w:cs="宋体"/>
          <w:color w:val="auto"/>
          <w:kern w:val="0"/>
          <w:sz w:val="21"/>
          <w:szCs w:val="21"/>
          <w:highlight w:val="none"/>
          <w:lang w:val="en-US" w:eastAsia="zh-CN" w:bidi="ar-SA"/>
        </w:rPr>
        <w:t>乙方需提前1个月上报当批次营销物料采购需求清单，报甲方审核确定后方可采购。</w:t>
      </w:r>
    </w:p>
    <w:p>
      <w:pPr>
        <w:pStyle w:val="24"/>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支付方式：</w:t>
      </w:r>
    </w:p>
    <w:p>
      <w:pPr>
        <w:pStyle w:val="24"/>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合同服务费用由乙方按季度向甲方申报。每个季度的第一个月5日前，乙方提交上季度的推广活动落地执行方案或《月度推广方案》、《费用明细表》、《验收报告》、《评估考核表》，由甲方进行确认。甲方在收到乙方提供的等额合法有效的增值税专用发票（税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%）后30日内将当期发生的服务费用支付给乙方</w:t>
      </w:r>
      <w:r>
        <w:rPr>
          <w:rFonts w:hint="eastAsia" w:ascii="宋体" w:hAnsi="宋体" w:eastAsia="宋体" w:cs="宋体"/>
          <w:color w:val="auto"/>
          <w:sz w:val="21"/>
          <w:szCs w:val="21"/>
          <w:highlight w:val="none"/>
        </w:rPr>
        <w:t>。</w:t>
      </w:r>
    </w:p>
    <w:p>
      <w:pPr>
        <w:pStyle w:val="13"/>
        <w:keepNext/>
        <w:keepLines/>
        <w:numPr>
          <w:ilvl w:val="0"/>
          <w:numId w:val="7"/>
        </w:numPr>
        <w:spacing w:before="0" w:after="0" w:line="360" w:lineRule="auto"/>
        <w:ind w:left="0"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甲方的权利和义务</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甲方对委托项目各阶包括不限于渠道推广策略方案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执行团队</w:t>
      </w:r>
      <w:r>
        <w:rPr>
          <w:rFonts w:hint="eastAsia" w:ascii="宋体" w:hAnsi="宋体" w:eastAsia="宋体" w:cs="宋体"/>
          <w:color w:val="auto"/>
          <w:sz w:val="21"/>
          <w:szCs w:val="21"/>
          <w:highlight w:val="none"/>
        </w:rPr>
        <w:t>等有权提出修改意见和建议，并有义务对修改的最终方案予以确认，乙方未经甲方确认而实施的行为视为违约，若由此对甲方造成损失，甲方有权对乙方追偿。</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4.2 </w:t>
      </w:r>
      <w:r>
        <w:rPr>
          <w:rFonts w:hint="eastAsia" w:ascii="宋体" w:hAnsi="宋体" w:eastAsia="宋体" w:cs="宋体"/>
          <w:color w:val="auto"/>
          <w:sz w:val="21"/>
          <w:szCs w:val="21"/>
          <w:highlight w:val="none"/>
        </w:rPr>
        <w:t>甲方有权对</w:t>
      </w:r>
      <w:r>
        <w:rPr>
          <w:rFonts w:hint="eastAsia" w:ascii="宋体" w:hAnsi="宋体" w:eastAsia="宋体" w:cs="宋体"/>
          <w:color w:val="auto"/>
          <w:sz w:val="21"/>
          <w:szCs w:val="21"/>
          <w:highlight w:val="none"/>
          <w:lang w:val="en-US" w:eastAsia="zh-CN"/>
        </w:rPr>
        <w:t>各类</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活动</w:t>
      </w:r>
      <w:r>
        <w:rPr>
          <w:rFonts w:hint="eastAsia" w:ascii="宋体" w:hAnsi="宋体" w:eastAsia="宋体" w:cs="宋体"/>
          <w:color w:val="auto"/>
          <w:sz w:val="21"/>
          <w:szCs w:val="21"/>
          <w:highlight w:val="none"/>
        </w:rPr>
        <w:t>执行全过程进行指导、监督，对不符合甲方要求的行为进行建议，乙方需无条件配合甲方</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进行修改、调整，直至方案结束。乙方拒绝修改、调整，视为违约</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4.3 </w:t>
      </w:r>
      <w:r>
        <w:rPr>
          <w:rFonts w:hint="eastAsia" w:ascii="宋体" w:hAnsi="宋体" w:eastAsia="宋体" w:cs="宋体"/>
          <w:color w:val="auto"/>
          <w:sz w:val="21"/>
          <w:szCs w:val="21"/>
          <w:highlight w:val="none"/>
        </w:rPr>
        <w:t>甲方应积极配合乙方工作，按双方约定的项目进度计划及时提供乙方服务所需的各种图片、文字原形资料和相关信息，并对以上资料的合法性、真实性负责，但不免除乙方的审查义务；但乙方对以上资料应尽审查义务，若因乙方未尽审查义务或甲方资料不存在问题，因乙方策划或使用等招致第三方追责的，乙方应承担由此产生的法律后果并赔偿甲方的相关损失。</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4.4 </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有权召集乙方各案组主创人员参加相关工作会议，并要求乙方就渠道推广工作做出策略解释与建议。</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4.5 </w:t>
      </w:r>
      <w:r>
        <w:rPr>
          <w:rFonts w:hint="eastAsia" w:ascii="宋体" w:hAnsi="宋体" w:eastAsia="宋体" w:cs="宋体"/>
          <w:color w:val="auto"/>
          <w:sz w:val="21"/>
          <w:szCs w:val="21"/>
          <w:highlight w:val="none"/>
        </w:rPr>
        <w:t>甲方应尊重乙方的专业经验和知识，并应考虑乙方工作周期等因素，在乙方提交有关文件后，应及时、完整的提出明确的意见，以便乙方有足够时间保质保量完成各项业务。</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4.6 </w:t>
      </w:r>
      <w:r>
        <w:rPr>
          <w:rFonts w:hint="eastAsia" w:ascii="宋体" w:hAnsi="宋体" w:eastAsia="宋体" w:cs="宋体"/>
          <w:color w:val="auto"/>
          <w:sz w:val="21"/>
          <w:szCs w:val="21"/>
          <w:highlight w:val="none"/>
        </w:rPr>
        <w:t>甲方应当在收到乙方完成阶段性工作或甲方临时工作或全部工作的相关资料后5天内验收，并做出验收通过与否的意见。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4.7 </w:t>
      </w:r>
      <w:r>
        <w:rPr>
          <w:rFonts w:hint="eastAsia" w:ascii="宋体" w:hAnsi="宋体" w:eastAsia="宋体" w:cs="宋体"/>
          <w:color w:val="auto"/>
          <w:sz w:val="21"/>
          <w:szCs w:val="21"/>
          <w:highlight w:val="none"/>
          <w:lang w:val="en-US" w:eastAsia="zh-CN"/>
        </w:rPr>
        <w:t>甲方有权对乙方工作业绩、专业能力、完成工作及时性和服务态度等指标每月进行考核，若考核月份乙方评分总分低于80分或单项评分低于该项总分的60%，甲方有权不予支付当月的各项费用，如</w:t>
      </w:r>
      <w:r>
        <w:rPr>
          <w:rFonts w:hint="eastAsia" w:ascii="宋体" w:hAnsi="宋体" w:cs="宋体"/>
          <w:color w:val="auto"/>
          <w:sz w:val="21"/>
          <w:szCs w:val="21"/>
          <w:highlight w:val="none"/>
          <w:lang w:val="en-US" w:eastAsia="zh-CN"/>
        </w:rPr>
        <w:t>连续二个月或累计三个月的单月评分</w:t>
      </w:r>
      <w:r>
        <w:rPr>
          <w:rFonts w:hint="eastAsia" w:ascii="宋体" w:hAnsi="宋体" w:eastAsia="宋体" w:cs="宋体"/>
          <w:color w:val="auto"/>
          <w:sz w:val="21"/>
          <w:szCs w:val="21"/>
          <w:highlight w:val="none"/>
          <w:lang w:val="en-US" w:eastAsia="zh-CN"/>
        </w:rPr>
        <w:t>总分低于80分，甲方有权单方面解除合同，乙方对此无异议（绩效</w:t>
      </w:r>
      <w:r>
        <w:rPr>
          <w:rFonts w:hint="eastAsia" w:ascii="宋体" w:hAnsi="宋体" w:cs="宋体"/>
          <w:color w:val="auto"/>
          <w:sz w:val="21"/>
          <w:szCs w:val="21"/>
          <w:highlight w:val="none"/>
          <w:lang w:val="en-US" w:eastAsia="zh-CN"/>
        </w:rPr>
        <w:t>考核</w:t>
      </w:r>
      <w:r>
        <w:rPr>
          <w:rFonts w:hint="eastAsia" w:ascii="宋体" w:hAnsi="宋体" w:eastAsia="宋体" w:cs="宋体"/>
          <w:color w:val="auto"/>
          <w:sz w:val="21"/>
          <w:szCs w:val="21"/>
          <w:highlight w:val="none"/>
          <w:lang w:val="en-US" w:eastAsia="zh-CN"/>
        </w:rPr>
        <w:t>表内容</w:t>
      </w:r>
      <w:r>
        <w:rPr>
          <w:rFonts w:hint="eastAsia" w:ascii="宋体" w:hAnsi="宋体" w:cs="宋体"/>
          <w:color w:val="auto"/>
          <w:sz w:val="21"/>
          <w:szCs w:val="21"/>
          <w:highlight w:val="none"/>
          <w:lang w:val="en-US" w:eastAsia="zh-CN"/>
        </w:rPr>
        <w:t>详</w:t>
      </w:r>
      <w:r>
        <w:rPr>
          <w:rFonts w:hint="eastAsia" w:ascii="宋体" w:hAnsi="宋体" w:eastAsia="宋体" w:cs="宋体"/>
          <w:color w:val="auto"/>
          <w:sz w:val="21"/>
          <w:szCs w:val="21"/>
          <w:highlight w:val="none"/>
          <w:lang w:val="en-US" w:eastAsia="zh-CN"/>
        </w:rPr>
        <w:t>参附件</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4.8 </w:t>
      </w:r>
      <w:r>
        <w:rPr>
          <w:rFonts w:hint="eastAsia" w:ascii="宋体" w:hAnsi="宋体" w:eastAsia="宋体" w:cs="宋体"/>
          <w:color w:val="auto"/>
          <w:sz w:val="21"/>
          <w:szCs w:val="21"/>
          <w:highlight w:val="none"/>
        </w:rPr>
        <w:t>甲方可根据项目实际情况，提前解除本合同。甲方解除合同的，应当提前【15】日通知乙方，告知乙方合同解除时间等相关信息，乙方应按照甲方发出的解除通知书内容执行并处理善后事宜。甲方提前解除本合同的，按照本合同约定据实结算、支付乙方费用，甲方不承担违约责任，乙方对此无异议。结算起点为合同生效之日，结算终点为甲方解除通知送达乙方之日起之后的第15日。</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乙方的权利和义务</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5.1 </w:t>
      </w:r>
      <w:r>
        <w:rPr>
          <w:rFonts w:hint="eastAsia" w:ascii="宋体" w:hAnsi="宋体" w:eastAsia="宋体" w:cs="宋体"/>
          <w:color w:val="auto"/>
          <w:sz w:val="21"/>
          <w:szCs w:val="21"/>
          <w:highlight w:val="none"/>
        </w:rPr>
        <w:t>乙方应严格按照甲方审核通过的方案完成工作，未经甲方同意，不得擅自变更</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，由此造成甲方损失的，由乙方承担。</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5.2 </w:t>
      </w:r>
      <w:r>
        <w:rPr>
          <w:rFonts w:hint="eastAsia" w:ascii="宋体" w:hAnsi="宋体" w:eastAsia="宋体" w:cs="宋体"/>
          <w:color w:val="auto"/>
          <w:sz w:val="21"/>
          <w:szCs w:val="21"/>
          <w:highlight w:val="none"/>
          <w:lang w:val="en-US" w:eastAsia="zh-CN"/>
        </w:rPr>
        <w:t>乙方对甲方提出的各项意见和建议，需严格按照甲方要求，在甲方要求时间内完成修改和调整，否则视为违约。</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5.3 </w:t>
      </w:r>
      <w:r>
        <w:rPr>
          <w:rFonts w:hint="eastAsia" w:ascii="宋体" w:hAnsi="宋体" w:eastAsia="宋体" w:cs="宋体"/>
          <w:color w:val="auto"/>
          <w:sz w:val="21"/>
          <w:szCs w:val="21"/>
          <w:highlight w:val="none"/>
          <w:lang w:val="en-US" w:eastAsia="zh-CN"/>
        </w:rPr>
        <w:t>乙方应当在完成阶段工作或甲方临时工作或全部工作后5日内将相关材料提交甲方验收，验收不合格的，由此产生的一切费用由乙方承担，若对甲方产生损失，甲方有权对乙方追偿。若经甲方同意继续执行方案，乙方应当在甲方要求的时间内按甲方建议或意见进行修改完善，完成相应修改工作后再次提报甲方验收。</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5.4 </w:t>
      </w:r>
      <w:r>
        <w:rPr>
          <w:rFonts w:hint="eastAsia" w:ascii="宋体" w:hAnsi="宋体" w:eastAsia="宋体" w:cs="宋体"/>
          <w:color w:val="auto"/>
          <w:sz w:val="21"/>
          <w:szCs w:val="21"/>
          <w:highlight w:val="none"/>
        </w:rPr>
        <w:t>乙方承担甲方渠道推广策略服务和实施落实，应尽职尽责为甲方服务，乙方根据甲方要求，按本合同规定内容，为甲方提供相应方案和完成甲方委托的各项事务。</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5.5 </w:t>
      </w:r>
      <w:r>
        <w:rPr>
          <w:rFonts w:hint="eastAsia" w:ascii="宋体" w:hAnsi="宋体" w:eastAsia="宋体" w:cs="宋体"/>
          <w:color w:val="auto"/>
          <w:sz w:val="21"/>
          <w:szCs w:val="21"/>
          <w:highlight w:val="none"/>
        </w:rPr>
        <w:t>乙方的审查和提示义务：乙方应对甲方提供使用的各种图片、文字原形资料和相关信息的合法性进行实质性审查，若乙方审查过程中发现广告内容有可能违反法律和地方法规及政策的，应立即通知甲方；乙方未通知甲方或乙方审查后未发现存在不符合国家广告法等法律法规的规定的，导致被有关行政部门或第三方追究责任的，乙方承担全部责任。</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5.6 </w:t>
      </w:r>
      <w:r>
        <w:rPr>
          <w:rFonts w:hint="eastAsia" w:ascii="宋体" w:hAnsi="宋体" w:eastAsia="宋体" w:cs="宋体"/>
          <w:color w:val="auto"/>
          <w:sz w:val="21"/>
          <w:szCs w:val="21"/>
          <w:highlight w:val="none"/>
        </w:rPr>
        <w:t>乙方应当安排优质的经甲方书面确认的专门人员固定组成项目工作组，工作组成员如有任何调整，乙方须提前10日向甲方提出书面申请，并将更换人员的相关资料提交甲方审核，甲方审核同意后乙方方可更换；如甲方认为成员不适合继续参与的，有权要求更换，乙方应在甲方指定期限内更换。</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5.7 </w:t>
      </w:r>
      <w:r>
        <w:rPr>
          <w:rFonts w:hint="eastAsia" w:ascii="宋体" w:hAnsi="宋体" w:eastAsia="宋体" w:cs="宋体"/>
          <w:color w:val="auto"/>
          <w:sz w:val="21"/>
          <w:szCs w:val="21"/>
          <w:highlight w:val="none"/>
        </w:rPr>
        <w:t>乙方对甲方提出的修正意见，应按甲方要求在甲方确定的修改时间内进行修改、调整，</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经甲方确认而实施的行为由乙方承担责任。</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5.8 </w:t>
      </w:r>
      <w:r>
        <w:rPr>
          <w:rFonts w:hint="eastAsia" w:ascii="宋体" w:hAnsi="宋体" w:eastAsia="宋体" w:cs="宋体"/>
          <w:color w:val="auto"/>
          <w:sz w:val="21"/>
          <w:szCs w:val="21"/>
          <w:highlight w:val="none"/>
        </w:rPr>
        <w:t>因乙方原因所产生的额外费用，由乙方负责，与甲方无关。</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5.9 </w:t>
      </w:r>
      <w:r>
        <w:rPr>
          <w:rFonts w:hint="eastAsia" w:ascii="宋体" w:hAnsi="宋体" w:eastAsia="宋体" w:cs="宋体"/>
          <w:color w:val="auto"/>
          <w:sz w:val="21"/>
          <w:szCs w:val="21"/>
          <w:highlight w:val="none"/>
        </w:rPr>
        <w:t>乙方有义务及时向甲方反馈信息、意见、建议和业务需求信息，有特殊情况应及时通报甲方归口部门。</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5.10 </w:t>
      </w:r>
      <w:r>
        <w:rPr>
          <w:rFonts w:hint="eastAsia" w:ascii="宋体" w:hAnsi="宋体" w:eastAsia="宋体" w:cs="宋体"/>
          <w:color w:val="auto"/>
          <w:sz w:val="21"/>
          <w:szCs w:val="21"/>
          <w:highlight w:val="none"/>
        </w:rPr>
        <w:t>乙方应当在完成阶段性工作或甲方临时工作或全部工作后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日内将相关资料提交甲方验收，乙方被通知验收不通过的，应当在甲方要求的时间内按甲方建议或意见进行修改、完善，完成相应修改完善工作后再次提报甲方验收。</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5.11 </w:t>
      </w:r>
      <w:r>
        <w:rPr>
          <w:rFonts w:hint="eastAsia" w:ascii="宋体" w:hAnsi="宋体" w:eastAsia="宋体" w:cs="宋体"/>
          <w:color w:val="auto"/>
          <w:sz w:val="21"/>
          <w:szCs w:val="21"/>
          <w:highlight w:val="none"/>
          <w:lang w:val="en-US" w:eastAsia="zh-CN"/>
        </w:rPr>
        <w:t>乙方须在</w:t>
      </w:r>
      <w:r>
        <w:rPr>
          <w:rFonts w:hint="eastAsia" w:ascii="宋体" w:hAnsi="宋体" w:eastAsia="宋体" w:cs="宋体"/>
          <w:color w:val="auto"/>
          <w:sz w:val="21"/>
          <w:szCs w:val="21"/>
          <w:highlight w:val="none"/>
        </w:rPr>
        <w:t>合同生效后五日内</w:t>
      </w:r>
      <w:r>
        <w:rPr>
          <w:rFonts w:hint="eastAsia" w:ascii="宋体" w:hAnsi="宋体" w:eastAsia="宋体" w:cs="宋体"/>
          <w:color w:val="auto"/>
          <w:sz w:val="21"/>
          <w:szCs w:val="21"/>
          <w:highlight w:val="none"/>
          <w:lang w:val="en-US" w:eastAsia="zh-CN"/>
        </w:rPr>
        <w:t>将自有资源以及可以调用的资源汇总成册汇报给甲方，除乙方自有资源外的所有服务内容进行分包时，需经甲方审核确认后方可执行。</w:t>
      </w:r>
    </w:p>
    <w:p>
      <w:pPr>
        <w:ind w:firstLine="420"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5.12 乙方须负责妥善处理合同履行期间发生的跟甲方有关（包括但不限于针对甲方、甲方项目、甲方品牌、甲方关联公司等）的一切舆情影响。</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5.13 </w:t>
      </w:r>
      <w:r>
        <w:rPr>
          <w:rFonts w:hint="eastAsia" w:ascii="宋体" w:hAnsi="宋体" w:eastAsia="宋体" w:cs="宋体"/>
          <w:color w:val="auto"/>
          <w:sz w:val="21"/>
          <w:szCs w:val="21"/>
          <w:highlight w:val="none"/>
        </w:rPr>
        <w:t>乙方应自觉提高安全生产意识，做好现场安全防护措施，确保</w:t>
      </w:r>
      <w:r>
        <w:rPr>
          <w:rFonts w:hint="eastAsia" w:ascii="宋体" w:hAnsi="宋体" w:eastAsia="宋体" w:cs="宋体"/>
          <w:color w:val="auto"/>
          <w:sz w:val="21"/>
          <w:szCs w:val="21"/>
          <w:highlight w:val="none"/>
          <w:lang w:val="en-US" w:eastAsia="zh-CN"/>
        </w:rPr>
        <w:t>用工</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合同履行</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val="en-US" w:eastAsia="zh-CN"/>
        </w:rPr>
        <w:t>乙方人员的</w:t>
      </w:r>
      <w:r>
        <w:rPr>
          <w:rFonts w:hint="eastAsia" w:ascii="宋体" w:hAnsi="宋体" w:eastAsia="宋体" w:cs="宋体"/>
          <w:color w:val="auto"/>
          <w:sz w:val="21"/>
          <w:szCs w:val="21"/>
          <w:highlight w:val="none"/>
        </w:rPr>
        <w:t>一切安全责任及措施费用概由乙方负责。在</w:t>
      </w:r>
      <w:r>
        <w:rPr>
          <w:rFonts w:hint="eastAsia" w:ascii="宋体" w:hAnsi="宋体" w:eastAsia="宋体" w:cs="宋体"/>
          <w:color w:val="auto"/>
          <w:sz w:val="21"/>
          <w:szCs w:val="21"/>
          <w:highlight w:val="none"/>
          <w:lang w:val="en-US" w:eastAsia="zh-CN"/>
        </w:rPr>
        <w:t>合同履行</w:t>
      </w:r>
      <w:r>
        <w:rPr>
          <w:rFonts w:hint="eastAsia" w:ascii="宋体" w:hAnsi="宋体" w:eastAsia="宋体" w:cs="宋体"/>
          <w:color w:val="auto"/>
          <w:sz w:val="21"/>
          <w:szCs w:val="21"/>
          <w:highlight w:val="none"/>
        </w:rPr>
        <w:t>过程中如发生人身伤亡事故，由乙方承担全部责任，并由乙方承担造成的经济损失和刑事责任</w:t>
      </w:r>
      <w:r>
        <w:rPr>
          <w:rFonts w:hint="eastAsia" w:ascii="宋体" w:hAnsi="宋体" w:eastAsia="宋体" w:cs="宋体"/>
          <w:color w:val="auto"/>
          <w:sz w:val="21"/>
          <w:szCs w:val="21"/>
          <w:highlight w:val="none"/>
          <w:lang w:val="en-US" w:eastAsia="zh-CN"/>
        </w:rPr>
        <w:t>。</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知识产权及保密</w:t>
      </w:r>
      <w:r>
        <w:rPr>
          <w:rFonts w:hint="eastAsia" w:ascii="宋体" w:hAnsi="宋体" w:eastAsia="宋体" w:cs="宋体"/>
          <w:b/>
          <w:bCs w:val="0"/>
          <w:color w:val="auto"/>
          <w:sz w:val="21"/>
          <w:szCs w:val="21"/>
          <w:highlight w:val="none"/>
          <w:lang w:val="en-US" w:eastAsia="zh-CN"/>
        </w:rPr>
        <w:t>条款</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6.1 </w:t>
      </w:r>
      <w:r>
        <w:rPr>
          <w:rFonts w:hint="eastAsia" w:ascii="宋体" w:hAnsi="宋体" w:eastAsia="宋体" w:cs="宋体"/>
          <w:color w:val="auto"/>
          <w:sz w:val="21"/>
          <w:szCs w:val="21"/>
          <w:highlight w:val="none"/>
        </w:rPr>
        <w:t>本合同项下乙方的所有渠道推广策略等内容及相应成果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包括但不限于传播策略、创意及构思、活动方案、脚本构思、包装设计</w:t>
      </w:r>
      <w:r>
        <w:rPr>
          <w:rFonts w:hint="eastAsia" w:ascii="宋体" w:hAnsi="宋体" w:cs="宋体"/>
          <w:color w:val="auto"/>
          <w:sz w:val="21"/>
          <w:szCs w:val="21"/>
          <w:highlight w:val="none"/>
          <w:lang w:val="en-US" w:eastAsia="zh-CN"/>
        </w:rPr>
        <w:t>、各种文字及Logo</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所产生的知识产权归甲方所有。</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6.2 </w:t>
      </w:r>
      <w:r>
        <w:rPr>
          <w:rFonts w:hint="eastAsia" w:ascii="宋体" w:hAnsi="宋体" w:eastAsia="宋体" w:cs="宋体"/>
          <w:color w:val="auto"/>
          <w:sz w:val="21"/>
          <w:szCs w:val="21"/>
          <w:highlight w:val="none"/>
        </w:rPr>
        <w:t>本合同属于商业机密，各方必须保密对方提供的一切资料和信息，未经资料提供方的书面同意，任一方不得向任何第三方泄露本协议所涉及的任何条款内容和以往签订的相关协议及往来文件资料等；否则，守约方可视情况严重程度解除合同，并要求违约方支付相当于本合同暂定总价30%的违约金，违约金不足弥损失的，违约方补足。</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6.3 </w:t>
      </w:r>
      <w:r>
        <w:rPr>
          <w:rFonts w:hint="eastAsia" w:ascii="宋体" w:hAnsi="宋体" w:eastAsia="宋体" w:cs="宋体"/>
          <w:color w:val="auto"/>
          <w:sz w:val="21"/>
          <w:szCs w:val="21"/>
          <w:highlight w:val="none"/>
        </w:rPr>
        <w:t>乙方应确保因履行本合同而完成的有关成果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包括但不限于传播策略、创意及构思、活动方案、脚本构思、包装设计</w:t>
      </w:r>
      <w:r>
        <w:rPr>
          <w:rFonts w:hint="eastAsia" w:ascii="宋体" w:hAnsi="宋体" w:cs="宋体"/>
          <w:color w:val="auto"/>
          <w:sz w:val="21"/>
          <w:szCs w:val="21"/>
          <w:highlight w:val="none"/>
          <w:lang w:val="en-US" w:eastAsia="zh-CN"/>
        </w:rPr>
        <w:t>、各种文字及Logo</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及设计稿件不涉及第三方的知识产权，引起的一切知识产权纠纷及损失赔偿等责任由乙方自行承担，由此造成甲方工期延误及其他损失的，甲方有权追究其违约责任及其他损失赔偿责任。非因甲方明确要求且确需涉及第三方的知识产权的，乙方应当明确告知甲方并以合理最低费用取得授权或许可，相关费用含在投标报价中。</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6.4 </w:t>
      </w:r>
      <w:r>
        <w:rPr>
          <w:rFonts w:hint="eastAsia" w:ascii="宋体" w:hAnsi="宋体" w:eastAsia="宋体" w:cs="宋体"/>
          <w:color w:val="auto"/>
          <w:sz w:val="21"/>
          <w:szCs w:val="21"/>
          <w:highlight w:val="none"/>
        </w:rPr>
        <w:t>乙方不得未经甲方同意用本协议约定范围的</w:t>
      </w:r>
      <w:r>
        <w:rPr>
          <w:rFonts w:hint="eastAsia" w:ascii="宋体" w:hAnsi="宋体" w:eastAsia="宋体" w:cs="宋体"/>
          <w:color w:val="auto"/>
          <w:sz w:val="21"/>
          <w:szCs w:val="21"/>
          <w:highlight w:val="none"/>
          <w:lang w:val="en-US" w:eastAsia="zh-CN"/>
        </w:rPr>
        <w:t>成果和</w:t>
      </w:r>
      <w:r>
        <w:rPr>
          <w:rFonts w:hint="eastAsia" w:ascii="宋体" w:hAnsi="宋体" w:eastAsia="宋体" w:cs="宋体"/>
          <w:color w:val="auto"/>
          <w:sz w:val="21"/>
          <w:szCs w:val="21"/>
          <w:highlight w:val="none"/>
        </w:rPr>
        <w:t>作品参与公益、专业行业或各类组织机构所组织的竞赛评比活动以及为自己宣传和研究的目的所用。</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6.5 </w:t>
      </w:r>
      <w:r>
        <w:rPr>
          <w:rFonts w:hint="eastAsia" w:ascii="宋体" w:hAnsi="宋体" w:eastAsia="宋体" w:cs="宋体"/>
          <w:color w:val="auto"/>
          <w:sz w:val="21"/>
          <w:szCs w:val="21"/>
          <w:highlight w:val="none"/>
        </w:rPr>
        <w:t>保密条款在本合同期内及本合同终止后叁年内有效。</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违约责任</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7.1 </w:t>
      </w:r>
      <w:r>
        <w:rPr>
          <w:rFonts w:hint="eastAsia" w:ascii="宋体" w:hAnsi="宋体" w:eastAsia="宋体" w:cs="宋体"/>
          <w:color w:val="auto"/>
          <w:sz w:val="21"/>
          <w:szCs w:val="21"/>
          <w:highlight w:val="none"/>
        </w:rPr>
        <w:t>乙方未履行或未正确履行本合同项下之义务，乙方应当向甲方支付相当于本合同暂定合同总价10%的违约金，同时甲方有权要求乙方继续履行义务或者改正违约行为。违约金不足以弥补甲方损失的，乙方应补足。</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7.2 </w:t>
      </w:r>
      <w:r>
        <w:rPr>
          <w:rFonts w:hint="eastAsia" w:ascii="宋体" w:hAnsi="宋体" w:eastAsia="宋体" w:cs="宋体"/>
          <w:color w:val="auto"/>
          <w:sz w:val="21"/>
          <w:szCs w:val="21"/>
          <w:highlight w:val="none"/>
        </w:rPr>
        <w:t>乙方如未按甲方要求完成本项目各阶段的渠道推广策略等任务或乙方违反提供工作计划节点或违反甲方要求的任一工作节点，则每逾期一天，应以该月费用的万分之一向甲方支付日违约金；若乙方连续逾期20天，甲方有权单方解除合同，乙方应以本合同暂定总价的10%支付违约金，且甲方有权依据本合同第四条之甲方的权利及义务之第八小条对应付乙方服务费用作相应扣减。</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7.3 </w:t>
      </w:r>
      <w:r>
        <w:rPr>
          <w:rFonts w:hint="eastAsia" w:ascii="宋体" w:hAnsi="宋体" w:eastAsia="宋体" w:cs="宋体"/>
          <w:color w:val="auto"/>
          <w:sz w:val="21"/>
          <w:szCs w:val="21"/>
          <w:highlight w:val="none"/>
        </w:rPr>
        <w:t>若乙方</w:t>
      </w:r>
      <w:r>
        <w:rPr>
          <w:rFonts w:hint="eastAsia" w:ascii="宋体" w:hAnsi="宋体" w:cs="宋体"/>
          <w:color w:val="auto"/>
          <w:sz w:val="21"/>
          <w:szCs w:val="21"/>
          <w:highlight w:val="none"/>
          <w:lang w:val="en-US" w:eastAsia="zh-CN"/>
        </w:rPr>
        <w:t>连续二个月或累计三个月的单月评分</w:t>
      </w:r>
      <w:r>
        <w:rPr>
          <w:rFonts w:hint="eastAsia" w:ascii="宋体" w:hAnsi="宋体" w:eastAsia="宋体" w:cs="宋体"/>
          <w:color w:val="auto"/>
          <w:sz w:val="21"/>
          <w:szCs w:val="21"/>
          <w:highlight w:val="none"/>
        </w:rPr>
        <w:t>低于80分，甲方有权单方面解除合同。</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7.4 </w:t>
      </w:r>
      <w:r>
        <w:rPr>
          <w:rFonts w:hint="eastAsia" w:ascii="宋体" w:hAnsi="宋体" w:eastAsia="宋体" w:cs="宋体"/>
          <w:color w:val="auto"/>
          <w:sz w:val="21"/>
          <w:szCs w:val="21"/>
          <w:highlight w:val="none"/>
        </w:rPr>
        <w:t>若乙方的工作成果质量低劣，经甲方通知后整改三次仍不能满足甲方要求，甲方有权解除合同，乙方应退还甲方已经支付的涉及到“质量低劣成果”的所有费用，并以本合同暂定总价的10%向甲方支付违约金，若违约金不足以弥补甲方损失的，乙方仍应补足。</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一方违反保密义务的，应当按照本合同总价款的10%向另一方支付违约金，如不足以弥补损失的，应予补足。</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7.6 </w:t>
      </w:r>
      <w:r>
        <w:rPr>
          <w:rFonts w:hint="eastAsia" w:ascii="宋体" w:hAnsi="宋体" w:eastAsia="宋体" w:cs="宋体"/>
          <w:color w:val="auto"/>
          <w:sz w:val="21"/>
          <w:szCs w:val="21"/>
          <w:highlight w:val="none"/>
        </w:rPr>
        <w:t>根据本合同约定乙方应向甲方支付任何款项，包括但不限于违约金、罚款、赔偿金、费用等，甲方均有权于应付乙方款项中进行抵扣，不足部分，甲方有权向乙方追偿。</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不可抗力</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不可抗力主要包括的内容：（1）自然现象，如项目所在地发生台风、洪水、冰雹、水文地质灾害、地震等；</w:t>
      </w:r>
      <w:r>
        <w:rPr>
          <w:rFonts w:hint="eastAsia" w:ascii="宋体" w:hAnsi="宋体" w:cs="宋体"/>
          <w:color w:val="auto"/>
          <w:sz w:val="21"/>
          <w:szCs w:val="21"/>
          <w:highlight w:val="none"/>
          <w:lang w:eastAsia="zh-CN"/>
        </w:rPr>
        <w:t>（2）政府行为，如征收、征用 、停工令等限制或影响项目销售、开发的行政命令；（3）项目考古等。</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lang w:val="zh-TW" w:eastAsia="zh-TW"/>
        </w:rPr>
        <w:t>一方因不可抗力不能履行合同的</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应在不可抗力发生后两日内将不可抗力事件书面通知另一方；发生不可抗力时，双方均应采取一切措施，最大程度地减少不可抗力给任何一方造成的损失</w:t>
      </w:r>
      <w:r>
        <w:rPr>
          <w:rFonts w:hint="eastAsia" w:ascii="宋体" w:hAnsi="宋体" w:eastAsia="宋体" w:cs="宋体"/>
          <w:color w:val="auto"/>
          <w:sz w:val="21"/>
          <w:szCs w:val="21"/>
          <w:highlight w:val="none"/>
        </w:rPr>
        <w:t>。</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8.3 </w:t>
      </w:r>
      <w:r>
        <w:rPr>
          <w:rFonts w:hint="eastAsia" w:ascii="宋体" w:hAnsi="宋体" w:eastAsia="宋体" w:cs="宋体"/>
          <w:color w:val="auto"/>
          <w:sz w:val="21"/>
          <w:szCs w:val="21"/>
          <w:highlight w:val="none"/>
        </w:rPr>
        <w:t>双方按不可抗力对合同履行的影响程度协商决定是否解除合同、延期履行合同或者部分履行合同。</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8.4 </w:t>
      </w:r>
      <w:r>
        <w:rPr>
          <w:rFonts w:hint="eastAsia" w:ascii="宋体" w:hAnsi="宋体" w:eastAsia="宋体" w:cs="宋体"/>
          <w:color w:val="auto"/>
          <w:sz w:val="21"/>
          <w:szCs w:val="21"/>
          <w:highlight w:val="none"/>
        </w:rPr>
        <w:t>对因不可抗力未能履约给另一方造成的经济损失，该履约方不负赔偿责任，但本合同另有约定的除外。</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通知与送达</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9.1 </w:t>
      </w:r>
      <w:r>
        <w:rPr>
          <w:rFonts w:hint="eastAsia" w:ascii="宋体" w:hAnsi="宋体" w:eastAsia="宋体" w:cs="宋体"/>
          <w:color w:val="auto"/>
          <w:sz w:val="21"/>
          <w:szCs w:val="21"/>
          <w:highlight w:val="none"/>
        </w:rPr>
        <w:t>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书面变更通知前的送达仍为有效送达。任何根据本合同发出的文件，均应当采取书面形式。</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9.2 </w:t>
      </w:r>
      <w:r>
        <w:rPr>
          <w:rFonts w:hint="eastAsia" w:ascii="宋体" w:hAnsi="宋体" w:eastAsia="宋体" w:cs="宋体"/>
          <w:color w:val="auto"/>
          <w:sz w:val="21"/>
          <w:szCs w:val="21"/>
          <w:highlight w:val="none"/>
        </w:rPr>
        <w:t>联系人及联系方式：</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9.3 </w:t>
      </w:r>
      <w:r>
        <w:rPr>
          <w:rFonts w:hint="eastAsia" w:ascii="宋体" w:hAnsi="宋体" w:eastAsia="宋体" w:cs="宋体"/>
          <w:color w:val="auto"/>
          <w:sz w:val="21"/>
          <w:szCs w:val="21"/>
          <w:highlight w:val="none"/>
        </w:rPr>
        <w:t>双方确认上述送达地址之适用范围包括双方非诉时各类通知、协议等文件以及就合同发生纠纷时相关文件和法律文书的送达，同时包括因履行本合同产生诉讼进入仲裁、民事诉讼程序后的一审、二审、再审和执行程序时需要送达的资料和文书（包括但不限于诉讼参加人提交的材料、裁决机构调取的材料、应诉通知书、举证通知书、合议庭告知书、传票、开庭通知书、判决书、裁定书、调解书、限期履行通知书等文书和资料）的送达。</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9.4 </w:t>
      </w:r>
      <w:r>
        <w:rPr>
          <w:rFonts w:hint="eastAsia" w:ascii="宋体" w:hAnsi="宋体" w:eastAsia="宋体" w:cs="宋体"/>
          <w:color w:val="auto"/>
          <w:sz w:val="21"/>
          <w:szCs w:val="21"/>
          <w:highlight w:val="none"/>
        </w:rPr>
        <w:t xml:space="preserve">一方采取邮寄方式通知的，上述通讯地址为送达地址，以该通讯地址寄出3日（本省）或7日后（外省）视为送达。对于双方在合同中明确约定的送达地址，法院进行送达时可直接邮寄送达，即使当事人未能收到法院邮寄送达的文书，由于双方的约定，也应当视为送达。  </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9.5 </w:t>
      </w:r>
      <w:r>
        <w:rPr>
          <w:rFonts w:hint="eastAsia" w:ascii="宋体" w:hAnsi="宋体" w:eastAsia="宋体" w:cs="宋体"/>
          <w:color w:val="auto"/>
          <w:sz w:val="21"/>
          <w:szCs w:val="21"/>
          <w:highlight w:val="none"/>
        </w:rPr>
        <w:t>本约定作为合同中独立存在的条款，不受合同其他条款效力的影响。</w:t>
      </w:r>
    </w:p>
    <w:p>
      <w:pPr>
        <w:pStyle w:val="24"/>
        <w:numPr>
          <w:ilvl w:val="0"/>
          <w:numId w:val="7"/>
        </w:numPr>
        <w:spacing w:after="0"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其他事项</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10.1 </w:t>
      </w:r>
      <w:r>
        <w:rPr>
          <w:rFonts w:hint="eastAsia" w:ascii="宋体" w:hAnsi="宋体" w:eastAsia="宋体" w:cs="宋体"/>
          <w:color w:val="auto"/>
          <w:sz w:val="21"/>
          <w:szCs w:val="21"/>
          <w:highlight w:val="none"/>
        </w:rPr>
        <w:t>因本合同引起的一切争议，双方应当友好协商解决；协商不成，双方确认向法定管辖地人民法院提起诉讼。</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本合同的附件为本合同的有效组成部分，与本合同具有同等法律效力。</w:t>
      </w:r>
    </w:p>
    <w:p>
      <w:pPr>
        <w:pStyle w:val="24"/>
        <w:numPr>
          <w:ilvl w:val="0"/>
          <w:numId w:val="0"/>
        </w:num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10.3 </w:t>
      </w:r>
      <w:r>
        <w:rPr>
          <w:rFonts w:hint="eastAsia" w:ascii="宋体" w:hAnsi="宋体" w:eastAsia="宋体" w:cs="宋体"/>
          <w:color w:val="auto"/>
          <w:sz w:val="21"/>
          <w:szCs w:val="21"/>
          <w:highlight w:val="none"/>
        </w:rPr>
        <w:t>本协议壹式肆份，</w:t>
      </w:r>
      <w:r>
        <w:rPr>
          <w:rFonts w:hint="eastAsia" w:ascii="宋体" w:hAnsi="宋体" w:cs="宋体"/>
          <w:color w:val="auto"/>
          <w:sz w:val="21"/>
          <w:szCs w:val="21"/>
          <w:highlight w:val="none"/>
          <w:lang w:val="en-US" w:eastAsia="zh-CN"/>
        </w:rPr>
        <w:t>甲乙</w:t>
      </w:r>
      <w:r>
        <w:rPr>
          <w:rFonts w:hint="eastAsia" w:ascii="宋体" w:hAnsi="宋体" w:eastAsia="宋体" w:cs="宋体"/>
          <w:color w:val="auto"/>
          <w:sz w:val="21"/>
          <w:szCs w:val="21"/>
          <w:highlight w:val="none"/>
        </w:rPr>
        <w:t>执贰份，具有同等法律效力。本协议自</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方盖章并签字之日起生效。本协议未尽事宜，甲、乙双方可另行协商解决。</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9"/>
        <w:gridCol w:w="4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000" w:type="pct"/>
            <w:gridSpan w:val="2"/>
            <w:vAlign w:val="top"/>
          </w:tcPr>
          <w:p>
            <w:pPr>
              <w:pStyle w:val="39"/>
              <w:spacing w:after="0" w:line="360" w:lineRule="auto"/>
              <w:ind w:left="0" w:leftChars="0" w:firstLine="0" w:firstLineChars="0"/>
              <w:jc w:val="left"/>
              <w:rPr>
                <w:rFonts w:hint="eastAsia"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eastAsia="zh-CN"/>
              </w:rPr>
              <w:t>（</w:t>
            </w:r>
            <w:r>
              <w:rPr>
                <w:rFonts w:hint="eastAsia" w:hAnsi="宋体" w:eastAsia="宋体" w:cs="宋体"/>
                <w:color w:val="auto"/>
                <w:sz w:val="21"/>
                <w:szCs w:val="21"/>
                <w:highlight w:val="none"/>
                <w:vertAlign w:val="baseline"/>
                <w:lang w:val="en-US" w:eastAsia="zh-CN"/>
              </w:rPr>
              <w:t>本页为签章页，以下无正文）</w:t>
            </w:r>
          </w:p>
          <w:p>
            <w:pPr>
              <w:pStyle w:val="39"/>
              <w:spacing w:after="0" w:line="360" w:lineRule="auto"/>
              <w:ind w:left="0" w:leftChars="0" w:firstLine="0" w:firstLineChars="0"/>
              <w:jc w:val="left"/>
              <w:rPr>
                <w:rFonts w:hint="eastAsia" w:hAnsi="宋体" w:eastAsia="宋体" w:cs="宋体"/>
                <w:color w:val="auto"/>
                <w:sz w:val="21"/>
                <w:szCs w:val="21"/>
                <w:highlight w:val="none"/>
                <w:vertAlign w:val="baseline"/>
                <w:lang w:val="en-US" w:eastAsia="zh-CN"/>
              </w:rPr>
            </w:pPr>
          </w:p>
          <w:p>
            <w:pPr>
              <w:pStyle w:val="39"/>
              <w:spacing w:after="0" w:line="360" w:lineRule="auto"/>
              <w:ind w:left="0" w:leftChars="0" w:firstLine="0" w:firstLineChars="0"/>
              <w:jc w:val="left"/>
              <w:rPr>
                <w:rFonts w:hint="default" w:hAnsi="宋体" w:eastAsia="宋体" w:cs="宋体"/>
                <w:color w:val="auto"/>
                <w:sz w:val="21"/>
                <w:szCs w:val="21"/>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18"/>
              <w:tabs>
                <w:tab w:val="left" w:pos="6892"/>
              </w:tabs>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pStyle w:val="39"/>
              <w:spacing w:after="0" w:line="360" w:lineRule="auto"/>
              <w:rPr>
                <w:rFonts w:hint="eastAsia" w:ascii="宋体" w:hAnsi="宋体" w:eastAsia="宋体" w:cs="宋体"/>
                <w:color w:val="auto"/>
                <w:sz w:val="21"/>
                <w:szCs w:val="21"/>
                <w:highlight w:val="none"/>
                <w:vertAlign w:val="baseline"/>
              </w:rPr>
            </w:pPr>
          </w:p>
        </w:tc>
        <w:tc>
          <w:tcPr>
            <w:tcW w:w="2500" w:type="pct"/>
            <w:vAlign w:val="top"/>
          </w:tcPr>
          <w:p>
            <w:pPr>
              <w:pStyle w:val="18"/>
              <w:tabs>
                <w:tab w:val="left" w:pos="6892"/>
              </w:tabs>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23"/>
              <w:tabs>
                <w:tab w:val="left" w:pos="7033"/>
              </w:tabs>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3"/>
                <w:sz w:val="21"/>
                <w:szCs w:val="21"/>
                <w:highlight w:val="none"/>
              </w:rPr>
              <w:t>定</w:t>
            </w:r>
            <w:r>
              <w:rPr>
                <w:rFonts w:hint="eastAsia" w:ascii="宋体" w:hAnsi="宋体" w:eastAsia="宋体" w:cs="宋体"/>
                <w:color w:val="auto"/>
                <w:spacing w:val="-2"/>
                <w:sz w:val="21"/>
                <w:szCs w:val="21"/>
                <w:highlight w:val="none"/>
              </w:rPr>
              <w:t>代</w:t>
            </w:r>
            <w:r>
              <w:rPr>
                <w:rFonts w:hint="eastAsia" w:ascii="宋体" w:hAnsi="宋体" w:eastAsia="宋体" w:cs="宋体"/>
                <w:color w:val="auto"/>
                <w:spacing w:val="-1"/>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1"/>
                <w:sz w:val="21"/>
                <w:szCs w:val="21"/>
                <w:highlight w:val="none"/>
              </w:rPr>
              <w:t>或授</w:t>
            </w:r>
            <w:r>
              <w:rPr>
                <w:rFonts w:hint="eastAsia" w:ascii="宋体" w:hAnsi="宋体" w:eastAsia="宋体" w:cs="宋体"/>
                <w:color w:val="auto"/>
                <w:spacing w:val="-3"/>
                <w:sz w:val="21"/>
                <w:szCs w:val="21"/>
                <w:highlight w:val="none"/>
              </w:rPr>
              <w:t>权</w:t>
            </w:r>
            <w:r>
              <w:rPr>
                <w:rFonts w:hint="eastAsia" w:ascii="宋体" w:hAnsi="宋体" w:eastAsia="宋体" w:cs="宋体"/>
                <w:color w:val="auto"/>
                <w:spacing w:val="-1"/>
                <w:sz w:val="21"/>
                <w:szCs w:val="21"/>
                <w:highlight w:val="none"/>
              </w:rPr>
              <w:t>代表</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签字）：</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39"/>
              <w:spacing w:after="0" w:line="360" w:lineRule="auto"/>
              <w:rPr>
                <w:rFonts w:hint="eastAsia" w:ascii="宋体" w:hAnsi="宋体" w:eastAsia="宋体" w:cs="宋体"/>
                <w:color w:val="auto"/>
                <w:sz w:val="21"/>
                <w:szCs w:val="21"/>
                <w:highlight w:val="none"/>
                <w:vertAlign w:val="baseline"/>
              </w:rPr>
            </w:pPr>
          </w:p>
        </w:tc>
        <w:tc>
          <w:tcPr>
            <w:tcW w:w="2500" w:type="pct"/>
            <w:vAlign w:val="top"/>
          </w:tcPr>
          <w:p>
            <w:pPr>
              <w:pStyle w:val="23"/>
              <w:tabs>
                <w:tab w:val="left" w:pos="7254"/>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3"/>
                <w:sz w:val="21"/>
                <w:szCs w:val="21"/>
                <w:highlight w:val="none"/>
              </w:rPr>
              <w:t>定</w:t>
            </w:r>
            <w:r>
              <w:rPr>
                <w:rFonts w:hint="eastAsia" w:ascii="宋体" w:hAnsi="宋体" w:eastAsia="宋体" w:cs="宋体"/>
                <w:color w:val="auto"/>
                <w:spacing w:val="-2"/>
                <w:sz w:val="21"/>
                <w:szCs w:val="21"/>
                <w:highlight w:val="none"/>
              </w:rPr>
              <w:t>代</w:t>
            </w:r>
            <w:r>
              <w:rPr>
                <w:rFonts w:hint="eastAsia" w:ascii="宋体" w:hAnsi="宋体" w:eastAsia="宋体" w:cs="宋体"/>
                <w:color w:val="auto"/>
                <w:spacing w:val="-1"/>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1"/>
                <w:sz w:val="21"/>
                <w:szCs w:val="21"/>
                <w:highlight w:val="none"/>
              </w:rPr>
              <w:t>或授</w:t>
            </w:r>
            <w:r>
              <w:rPr>
                <w:rFonts w:hint="eastAsia" w:ascii="宋体" w:hAnsi="宋体" w:eastAsia="宋体" w:cs="宋体"/>
                <w:color w:val="auto"/>
                <w:spacing w:val="-3"/>
                <w:sz w:val="21"/>
                <w:szCs w:val="21"/>
                <w:highlight w:val="none"/>
              </w:rPr>
              <w:t>权</w:t>
            </w:r>
            <w:r>
              <w:rPr>
                <w:rFonts w:hint="eastAsia" w:ascii="宋体" w:hAnsi="宋体" w:eastAsia="宋体" w:cs="宋体"/>
                <w:color w:val="auto"/>
                <w:spacing w:val="-1"/>
                <w:sz w:val="21"/>
                <w:szCs w:val="21"/>
                <w:highlight w:val="none"/>
              </w:rPr>
              <w:t>代表</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签字）：</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auto"/>
                <w:sz w:val="21"/>
                <w:szCs w:val="21"/>
                <w:highlight w:val="none"/>
                <w:vertAlign w:val="baseline"/>
              </w:rPr>
            </w:pPr>
          </w:p>
        </w:tc>
        <w:tc>
          <w:tcPr>
            <w:tcW w:w="2500" w:type="pct"/>
            <w:vAlign w:val="top"/>
          </w:tcPr>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见证方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tc>
        <w:tc>
          <w:tcPr>
            <w:tcW w:w="2500" w:type="pct"/>
            <w:vAlign w:val="top"/>
          </w:tcPr>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法定代表人或授权代表（签字）：</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lang w:val="en-US" w:eastAsia="zh-CN"/>
              </w:rPr>
              <w:t xml:space="preserve"> </w:t>
            </w:r>
          </w:p>
        </w:tc>
        <w:tc>
          <w:tcPr>
            <w:tcW w:w="2500" w:type="pct"/>
            <w:vAlign w:val="top"/>
          </w:tcPr>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auto"/>
                <w:spacing w:val="-2"/>
                <w:sz w:val="21"/>
                <w:szCs w:val="21"/>
                <w:highlight w:val="none"/>
              </w:rPr>
            </w:pPr>
          </w:p>
        </w:tc>
        <w:tc>
          <w:tcPr>
            <w:tcW w:w="2500" w:type="pct"/>
            <w:vAlign w:val="top"/>
          </w:tcPr>
          <w:p>
            <w:pPr>
              <w:pStyle w:val="39"/>
              <w:spacing w:after="0" w:line="360" w:lineRule="auto"/>
              <w:rPr>
                <w:rFonts w:hint="eastAsia" w:ascii="宋体" w:hAnsi="宋体" w:eastAsia="宋体" w:cs="宋体"/>
                <w:color w:val="auto"/>
                <w:sz w:val="21"/>
                <w:szCs w:val="21"/>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auto"/>
                <w:spacing w:val="-2"/>
                <w:sz w:val="21"/>
                <w:szCs w:val="21"/>
                <w:highlight w:val="none"/>
              </w:rPr>
            </w:pPr>
          </w:p>
        </w:tc>
        <w:tc>
          <w:tcPr>
            <w:tcW w:w="2500" w:type="pct"/>
            <w:vAlign w:val="top"/>
          </w:tcPr>
          <w:p>
            <w:pPr>
              <w:pStyle w:val="39"/>
              <w:spacing w:after="0" w:line="360" w:lineRule="auto"/>
              <w:jc w:val="right"/>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sz w:val="24"/>
                <w:szCs w:val="24"/>
                <w:highlight w:val="none"/>
              </w:rPr>
              <w:t xml:space="preserve"> 年    月    日</w:t>
            </w:r>
          </w:p>
        </w:tc>
      </w:tr>
    </w:tbl>
    <w:p>
      <w:pPr>
        <w:pStyle w:val="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：渠道推广绩效考核评分表</w:t>
      </w:r>
    </w:p>
    <w:tbl>
      <w:tblPr>
        <w:tblStyle w:val="41"/>
        <w:tblW w:w="50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5"/>
        <w:gridCol w:w="783"/>
        <w:gridCol w:w="4447"/>
        <w:gridCol w:w="1336"/>
        <w:gridCol w:w="2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渠道推广绩效</w:t>
            </w:r>
            <w:r>
              <w:rPr>
                <w:rFonts w:hint="eastAsia" w:ascii="宋体" w:hAnsi="宋体" w:cs="宋体"/>
                <w:b/>
                <w:bCs/>
                <w:i w:val="0"/>
                <w:iCs w:val="0"/>
                <w:color w:val="auto"/>
                <w:kern w:val="0"/>
                <w:sz w:val="24"/>
                <w:szCs w:val="24"/>
                <w:highlight w:val="none"/>
                <w:u w:val="none"/>
                <w:lang w:val="en-US" w:eastAsia="zh-CN" w:bidi="ar"/>
              </w:rPr>
              <w:t>月度</w:t>
            </w:r>
            <w:r>
              <w:rPr>
                <w:rFonts w:hint="eastAsia" w:ascii="宋体" w:hAnsi="宋体" w:eastAsia="宋体" w:cs="宋体"/>
                <w:b/>
                <w:bCs/>
                <w:i w:val="0"/>
                <w:iCs w:val="0"/>
                <w:color w:val="auto"/>
                <w:kern w:val="0"/>
                <w:sz w:val="24"/>
                <w:szCs w:val="24"/>
                <w:highlight w:val="none"/>
                <w:u w:val="none"/>
                <w:lang w:val="en-US" w:eastAsia="zh-CN" w:bidi="ar"/>
              </w:rPr>
              <w:t>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服务月份</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考核占比</w:t>
            </w:r>
          </w:p>
        </w:tc>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考核项目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总分</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工作成果（70%）</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策略</w:t>
            </w:r>
            <w:r>
              <w:rPr>
                <w:rFonts w:hint="eastAsia" w:ascii="宋体" w:hAnsi="宋体" w:cs="宋体"/>
                <w:i w:val="0"/>
                <w:iCs w:val="0"/>
                <w:color w:val="auto"/>
                <w:kern w:val="0"/>
                <w:sz w:val="21"/>
                <w:szCs w:val="21"/>
                <w:highlight w:val="none"/>
                <w:u w:val="none"/>
                <w:lang w:val="en-US" w:eastAsia="zh-CN" w:bidi="ar"/>
              </w:rPr>
              <w:t>综合评价</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【工作时效】每月20日前将次月推广排布策略思路及详细推广内容提供至甲方有效联系人，如甲方有修改意见，需及时配合甲方整改。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【思路条理】每月推广思路根据实际项目销售节点合理策划，并在控制费用合理性的基础上最大力度助力甲方意向客户到访及销售。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媒体推广</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【推广方案】在控制费用合理性的基础上根据项目实际情况及节点提供合理有效的推广意见，包括但不限于户外广告、自媒体等。</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【舆情管理】若出现不利于甲方的舆情，第一时间发现并提出合理解决方案。</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【推广效果】推广后有助力项目营销的效果，包括但不限于曝光增加、来访增量、成交增量等。</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渠道拓客</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【方案合理】渠道拓客方案根据实际项目销售节点合理策划，最大程度覆盖目标客群。展点展位类需定位合理并保证展示效果美观及实用性。</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【监督执行】渠道拓客需保证执行效果，做好督察工作，保证执行效果，保证宣传内容及物料合理、美观、无误。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【效果验收】方案能有效获客。及时做好验收工作及客户线索整理。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活动推广</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【活动方案】活动方案需贴合项目实际情况，新颖有创意，并在控制费用合理性的基础上最大力度助力甲方意向客户到访及销售。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【活动执行】活动前准备充分、活动现场统筹合理、活动后场地清理及时；活动流程连贯、气氛热烈、布置美观大方。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【活动效果】活动费效合理，达到很好的宣传/到访/转换/成交效果。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restart"/>
            <w:tcBorders>
              <w:top w:val="nil"/>
              <w:left w:val="single" w:color="000000" w:sz="4" w:space="0"/>
              <w:bottom w:val="single" w:color="000000" w:sz="4" w:space="0"/>
              <w:right w:val="single" w:color="000000" w:sz="4" w:space="0"/>
            </w:tcBorders>
            <w:shd w:val="clear" w:color="auto" w:fill="auto"/>
            <w:vAlign w:val="center"/>
          </w:tcPr>
          <w:p>
            <w:pPr>
              <w:numPr>
                <w:ilvl w:val="0"/>
                <w:numId w:val="0"/>
              </w:numPr>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营销</w:t>
            </w:r>
            <w:r>
              <w:rPr>
                <w:rFonts w:hint="eastAsia" w:ascii="宋体" w:hAnsi="宋体" w:eastAsia="宋体" w:cs="宋体"/>
                <w:color w:val="auto"/>
                <w:sz w:val="21"/>
                <w:szCs w:val="21"/>
                <w:highlight w:val="none"/>
              </w:rPr>
              <w:t>物料</w:t>
            </w:r>
            <w:r>
              <w:rPr>
                <w:rFonts w:hint="eastAsia" w:ascii="宋体" w:hAnsi="宋体" w:eastAsia="宋体" w:cs="宋体"/>
                <w:color w:val="auto"/>
                <w:sz w:val="21"/>
                <w:szCs w:val="21"/>
                <w:highlight w:val="none"/>
                <w:lang w:val="en-US" w:eastAsia="zh-CN"/>
              </w:rPr>
              <w:t>制作</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【方案呈现】能提供合理并新颖的包装、印刷、制作、礼品思路，在控制费用合理性的基础上最大力度助力甲方意向客户到访及销售。</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【工作实效】及时完成包装、印刷、制作、礼品的制作工作，不耽误营销工作节点及进度。</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8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【制作效果】制作类产品应保证美观及正确率，无明显瑕疵。有验收问题及时配合甲方整改，最大程度不耽误营销工作节点及进度。</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工作态度（30%）</w:t>
            </w:r>
            <w:r>
              <w:rPr>
                <w:rFonts w:hint="eastAsia" w:ascii="宋体" w:hAnsi="宋体" w:cs="宋体"/>
                <w:i w:val="0"/>
                <w:iCs w:val="0"/>
                <w:color w:val="auto"/>
                <w:kern w:val="0"/>
                <w:sz w:val="21"/>
                <w:szCs w:val="21"/>
                <w:highlight w:val="none"/>
                <w:u w:val="none"/>
                <w:lang w:val="en-US" w:eastAsia="zh-CN" w:bidi="ar"/>
              </w:rPr>
              <w:t xml:space="preserve"> </w:t>
            </w:r>
          </w:p>
        </w:tc>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乙方工作有较强责任心，在工作呈现中出错率较低，且能及时修复、协调、解决问题。</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乙方工作统筹能力强，不管是自有资源还是分包项目，均能合理统筹，保证质量及及时性。</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根据甲方营销节点，合理把控工期，保证事项在节点前完成，并保证质量。</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32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得分汇总：</w:t>
            </w:r>
          </w:p>
        </w:tc>
        <w:tc>
          <w:tcPr>
            <w:tcW w:w="1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32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乙方项目负责人</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确认签字：</w:t>
            </w:r>
          </w:p>
        </w:tc>
        <w:tc>
          <w:tcPr>
            <w:tcW w:w="1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32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甲方负责人</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确认签字：</w:t>
            </w:r>
          </w:p>
        </w:tc>
        <w:tc>
          <w:tcPr>
            <w:tcW w:w="1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bl>
    <w:p>
      <w:pPr>
        <w:pStyle w:val="3"/>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4"/>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GZ458地块项目2024年渠道推广服务报价清单及附表（格式详见第六章）</w:t>
      </w:r>
    </w:p>
    <w:p>
      <w:pPr>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附件3：</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center"/>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lang w:val="en-US" w:eastAsia="zh-CN"/>
        </w:rPr>
        <w:t>****</w:t>
      </w:r>
      <w:r>
        <w:rPr>
          <w:rFonts w:hint="eastAsia" w:ascii="宋体" w:hAnsi="宋体" w:eastAsia="宋体" w:cs="宋体"/>
          <w:b/>
          <w:bCs/>
          <w:i w:val="0"/>
          <w:iCs w:val="0"/>
          <w:caps w:val="0"/>
          <w:color w:val="auto"/>
          <w:spacing w:val="0"/>
          <w:sz w:val="28"/>
          <w:szCs w:val="28"/>
          <w:highlight w:val="none"/>
        </w:rPr>
        <w:t>验收报告</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rPr>
        <w:t>一、</w:t>
      </w:r>
      <w:r>
        <w:rPr>
          <w:rFonts w:hint="eastAsia" w:ascii="宋体" w:hAnsi="宋体" w:eastAsia="宋体" w:cs="宋体"/>
          <w:b/>
          <w:bCs/>
          <w:i w:val="0"/>
          <w:iCs w:val="0"/>
          <w:caps w:val="0"/>
          <w:color w:val="auto"/>
          <w:spacing w:val="0"/>
          <w:sz w:val="28"/>
          <w:szCs w:val="28"/>
          <w:highlight w:val="none"/>
          <w:lang w:val="en-US" w:eastAsia="zh-CN"/>
        </w:rPr>
        <w:t>服务内容</w:t>
      </w:r>
      <w:r>
        <w:rPr>
          <w:rFonts w:hint="eastAsia" w:ascii="宋体" w:hAnsi="宋体" w:eastAsia="宋体" w:cs="宋体"/>
          <w:b/>
          <w:bCs/>
          <w:i w:val="0"/>
          <w:iCs w:val="0"/>
          <w:caps w:val="0"/>
          <w:color w:val="auto"/>
          <w:spacing w:val="0"/>
          <w:sz w:val="28"/>
          <w:szCs w:val="28"/>
          <w:highlight w:val="none"/>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lang w:val="en-US" w:eastAsia="zh-CN"/>
        </w:rPr>
        <w:t>内容</w:t>
      </w:r>
      <w:r>
        <w:rPr>
          <w:rFonts w:hint="eastAsia" w:ascii="宋体" w:hAnsi="宋体" w:eastAsia="宋体" w:cs="宋体"/>
          <w:b/>
          <w:bCs/>
          <w:i w:val="0"/>
          <w:iCs w:val="0"/>
          <w:caps w:val="0"/>
          <w:color w:val="auto"/>
          <w:spacing w:val="0"/>
          <w:sz w:val="28"/>
          <w:szCs w:val="28"/>
          <w:highlight w:val="none"/>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rPr>
        <w:t>费用：</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rPr>
        <w:t>时间</w:t>
      </w:r>
      <w:r>
        <w:rPr>
          <w:rFonts w:hint="eastAsia" w:ascii="宋体" w:hAnsi="宋体" w:eastAsia="宋体" w:cs="宋体"/>
          <w:i w:val="0"/>
          <w:iCs w:val="0"/>
          <w:caps w:val="0"/>
          <w:color w:val="auto"/>
          <w:spacing w:val="0"/>
          <w:sz w:val="28"/>
          <w:szCs w:val="28"/>
          <w:highlight w:val="none"/>
        </w:rPr>
        <w:t xml:space="preserve">： </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rPr>
        <w:t>地点</w:t>
      </w:r>
      <w:r>
        <w:rPr>
          <w:rFonts w:hint="eastAsia" w:ascii="宋体" w:hAnsi="宋体" w:eastAsia="宋体" w:cs="宋体"/>
          <w:i w:val="0"/>
          <w:iCs w:val="0"/>
          <w:caps w:val="0"/>
          <w:color w:val="auto"/>
          <w:spacing w:val="0"/>
          <w:sz w:val="28"/>
          <w:szCs w:val="28"/>
          <w:highlight w:val="none"/>
        </w:rPr>
        <w:t xml:space="preserve">： </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rPr>
        <w:t>概况</w:t>
      </w:r>
      <w:r>
        <w:rPr>
          <w:rFonts w:hint="eastAsia" w:ascii="宋体" w:hAnsi="宋体" w:eastAsia="宋体" w:cs="宋体"/>
          <w:i w:val="0"/>
          <w:iCs w:val="0"/>
          <w:caps w:val="0"/>
          <w:color w:val="auto"/>
          <w:spacing w:val="0"/>
          <w:sz w:val="28"/>
          <w:szCs w:val="28"/>
          <w:highlight w:val="none"/>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b/>
          <w:bCs/>
          <w:i w:val="0"/>
          <w:iCs w:val="0"/>
          <w:caps w:val="0"/>
          <w:color w:val="auto"/>
          <w:spacing w:val="0"/>
          <w:sz w:val="28"/>
          <w:szCs w:val="28"/>
          <w:highlight w:val="none"/>
        </w:rPr>
        <w:t>二、</w:t>
      </w:r>
      <w:r>
        <w:rPr>
          <w:rFonts w:hint="eastAsia" w:ascii="宋体" w:hAnsi="宋体" w:eastAsia="宋体" w:cs="宋体"/>
          <w:b/>
          <w:bCs/>
          <w:i w:val="0"/>
          <w:iCs w:val="0"/>
          <w:caps w:val="0"/>
          <w:color w:val="auto"/>
          <w:spacing w:val="0"/>
          <w:sz w:val="28"/>
          <w:szCs w:val="28"/>
          <w:highlight w:val="none"/>
          <w:lang w:val="en-US" w:eastAsia="zh-CN"/>
        </w:rPr>
        <w:t>分项验收照片</w:t>
      </w:r>
    </w:p>
    <w:p>
      <w:pPr>
        <w:keepNext w:val="0"/>
        <w:keepLines w:val="0"/>
        <w:widowControl/>
        <w:suppressLineNumbers w:val="0"/>
        <w:jc w:val="left"/>
        <w:rPr>
          <w:rFonts w:hint="eastAsia" w:ascii="宋体" w:hAnsi="宋体" w:eastAsia="宋体" w:cs="宋体"/>
          <w:color w:val="auto"/>
          <w:sz w:val="28"/>
          <w:szCs w:val="28"/>
          <w:highlight w:val="none"/>
        </w:rPr>
      </w:pP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b/>
          <w:bCs/>
          <w:i w:val="0"/>
          <w:iCs w:val="0"/>
          <w:caps w:val="0"/>
          <w:color w:val="auto"/>
          <w:spacing w:val="0"/>
          <w:sz w:val="28"/>
          <w:szCs w:val="28"/>
          <w:highlight w:val="none"/>
          <w:lang w:val="en-US" w:eastAsia="zh-CN"/>
        </w:rPr>
        <w:t>三</w:t>
      </w:r>
      <w:r>
        <w:rPr>
          <w:rFonts w:hint="eastAsia" w:ascii="宋体" w:hAnsi="宋体" w:eastAsia="宋体" w:cs="宋体"/>
          <w:b/>
          <w:bCs/>
          <w:i w:val="0"/>
          <w:iCs w:val="0"/>
          <w:caps w:val="0"/>
          <w:color w:val="auto"/>
          <w:spacing w:val="0"/>
          <w:sz w:val="28"/>
          <w:szCs w:val="28"/>
          <w:highlight w:val="none"/>
        </w:rPr>
        <w:t>、</w:t>
      </w:r>
      <w:r>
        <w:rPr>
          <w:rFonts w:hint="eastAsia" w:ascii="宋体" w:hAnsi="宋体" w:eastAsia="宋体" w:cs="宋体"/>
          <w:b/>
          <w:bCs/>
          <w:i w:val="0"/>
          <w:iCs w:val="0"/>
          <w:caps w:val="0"/>
          <w:color w:val="auto"/>
          <w:spacing w:val="0"/>
          <w:sz w:val="28"/>
          <w:szCs w:val="28"/>
          <w:highlight w:val="none"/>
          <w:lang w:val="en-US" w:eastAsia="zh-CN"/>
        </w:rPr>
        <w:t>其他</w:t>
      </w:r>
    </w:p>
    <w:p>
      <w:pPr>
        <w:rPr>
          <w:rFonts w:hint="eastAsia" w:ascii="宋体" w:hAnsi="宋体" w:eastAsia="宋体" w:cs="宋体"/>
          <w:color w:val="auto"/>
          <w:sz w:val="28"/>
          <w:szCs w:val="28"/>
          <w:highlight w:val="none"/>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294" w:afterAutospacing="0" w:line="420" w:lineRule="atLeast"/>
        <w:ind w:left="0" w:right="0" w:firstLine="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附件4：</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8"/>
        <w:gridCol w:w="3056"/>
        <w:gridCol w:w="1765"/>
        <w:gridCol w:w="3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评估考核表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服务主题</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服务单位</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服务金额</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服务时间</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服务内容</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验收情况</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乙方确认</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甲方确认</w:t>
            </w:r>
          </w:p>
        </w:tc>
        <w:tc>
          <w:tcPr>
            <w:tcW w:w="39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highlight w:val="none"/>
                <w:u w:val="none"/>
              </w:rPr>
            </w:pPr>
          </w:p>
        </w:tc>
      </w:tr>
    </w:tbl>
    <w:p>
      <w:pPr>
        <w:rPr>
          <w:color w:val="auto"/>
          <w:highlight w:val="none"/>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jc w:val="center"/>
        <w:outlineLvl w:val="0"/>
        <w:rPr>
          <w:rFonts w:hint="eastAsia" w:ascii="宋体" w:hAnsi="宋体" w:eastAsia="宋体" w:cs="宋体"/>
          <w:b/>
          <w:color w:val="auto"/>
          <w:sz w:val="36"/>
          <w:highlight w:val="none"/>
        </w:rPr>
      </w:pPr>
      <w:bookmarkStart w:id="123" w:name="_Toc3717"/>
      <w:r>
        <w:rPr>
          <w:rFonts w:hint="eastAsia" w:ascii="宋体" w:hAnsi="宋体" w:eastAsia="宋体" w:cs="宋体"/>
          <w:b/>
          <w:color w:val="auto"/>
          <w:sz w:val="36"/>
          <w:highlight w:val="none"/>
        </w:rPr>
        <w:t>第四章</w:t>
      </w:r>
      <w:r>
        <w:rPr>
          <w:rFonts w:hint="eastAsia" w:ascii="宋体" w:hAnsi="宋体" w:eastAsia="宋体" w:cs="宋体"/>
          <w:color w:val="auto"/>
          <w:sz w:val="36"/>
          <w:highlight w:val="none"/>
        </w:rPr>
        <w:t xml:space="preserve"> </w:t>
      </w:r>
      <w:r>
        <w:rPr>
          <w:rFonts w:hint="eastAsia" w:ascii="宋体" w:hAnsi="宋体" w:eastAsia="宋体" w:cs="宋体"/>
          <w:b/>
          <w:color w:val="auto"/>
          <w:sz w:val="36"/>
          <w:highlight w:val="none"/>
        </w:rPr>
        <w:t>项目需求</w:t>
      </w:r>
      <w:bookmarkEnd w:id="122"/>
      <w:bookmarkEnd w:id="123"/>
    </w:p>
    <w:bookmarkEnd w:id="42"/>
    <w:bookmarkEnd w:id="43"/>
    <w:bookmarkEnd w:id="44"/>
    <w:p>
      <w:pPr>
        <w:pStyle w:val="24"/>
        <w:spacing w:after="0" w:line="360" w:lineRule="auto"/>
        <w:ind w:left="0" w:leftChars="0" w:firstLine="422" w:firstLineChars="200"/>
        <w:rPr>
          <w:rFonts w:hint="eastAsia" w:ascii="宋体" w:hAnsi="宋体" w:eastAsia="宋体" w:cs="宋体"/>
          <w:b/>
          <w:color w:val="auto"/>
          <w:sz w:val="21"/>
          <w:szCs w:val="21"/>
          <w:highlight w:val="none"/>
        </w:rPr>
      </w:pPr>
      <w:bookmarkStart w:id="124" w:name="_Toc22592"/>
      <w:bookmarkStart w:id="125" w:name="_Toc497133122"/>
      <w:bookmarkStart w:id="126" w:name="_Toc19375"/>
      <w:r>
        <w:rPr>
          <w:rFonts w:hint="eastAsia" w:ascii="宋体" w:hAnsi="宋体" w:eastAsia="宋体" w:cs="宋体"/>
          <w:b/>
          <w:color w:val="auto"/>
          <w:sz w:val="21"/>
          <w:szCs w:val="21"/>
          <w:highlight w:val="none"/>
        </w:rPr>
        <w:t>一、服务期限</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TW"/>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TW"/>
        </w:rPr>
        <w:t>】月至【2024】年【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TW"/>
        </w:rPr>
        <w:t>】月。</w:t>
      </w:r>
      <w:r>
        <w:rPr>
          <w:rFonts w:hint="eastAsia" w:ascii="宋体" w:hAnsi="宋体" w:eastAsia="宋体" w:cs="宋体"/>
          <w:color w:val="auto"/>
          <w:sz w:val="21"/>
          <w:szCs w:val="21"/>
          <w:highlight w:val="none"/>
        </w:rPr>
        <w:t>甲方有权以书面通知变更前述时间（包括中止或重启），且无需因此向乙方支付任何补偿或赔偿。</w:t>
      </w:r>
    </w:p>
    <w:p>
      <w:pPr>
        <w:pStyle w:val="27"/>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二、服务内容</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项目渠道推广应包含媒体推广、渠道拓客、活动推广、营销物料制作等内容，其中</w:t>
      </w:r>
      <w:r>
        <w:rPr>
          <w:rFonts w:hint="eastAsia" w:ascii="宋体" w:hAnsi="宋体" w:eastAsia="宋体" w:cs="宋体"/>
          <w:color w:val="auto"/>
          <w:sz w:val="21"/>
          <w:szCs w:val="21"/>
          <w:highlight w:val="none"/>
        </w:rPr>
        <w:t>媒体推广包含但不限于</w:t>
      </w:r>
      <w:r>
        <w:rPr>
          <w:rFonts w:hint="eastAsia" w:ascii="宋体" w:hAnsi="宋体" w:eastAsia="宋体" w:cs="宋体"/>
          <w:color w:val="auto"/>
          <w:sz w:val="21"/>
          <w:szCs w:val="21"/>
          <w:highlight w:val="none"/>
          <w:lang w:val="en-US" w:eastAsia="zh-CN"/>
        </w:rPr>
        <w:t>电视报道、电视节目硬广、电台节目宣传、房展会、专业媒体、生活媒体、户外大屏、户外大牌</w:t>
      </w:r>
      <w:r>
        <w:rPr>
          <w:rFonts w:hint="eastAsia" w:ascii="宋体" w:hAnsi="宋体" w:eastAsia="宋体" w:cs="宋体"/>
          <w:color w:val="auto"/>
          <w:sz w:val="21"/>
          <w:szCs w:val="21"/>
          <w:highlight w:val="none"/>
        </w:rPr>
        <w:t>、自媒体、抖音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大型活动冠名、宣传片拍摄制作</w:t>
      </w:r>
      <w:r>
        <w:rPr>
          <w:rFonts w:hint="eastAsia" w:ascii="宋体" w:hAnsi="宋体" w:eastAsia="宋体" w:cs="宋体"/>
          <w:color w:val="auto"/>
          <w:sz w:val="21"/>
          <w:szCs w:val="21"/>
          <w:highlight w:val="none"/>
        </w:rPr>
        <w:t>等形式媒体的传播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渠道拓客包含但不限于商超巡展、社区巡展、</w:t>
      </w:r>
      <w:r>
        <w:rPr>
          <w:rFonts w:hint="eastAsia" w:ascii="宋体" w:hAnsi="宋体" w:eastAsia="宋体" w:cs="宋体"/>
          <w:color w:val="auto"/>
          <w:sz w:val="21"/>
          <w:szCs w:val="21"/>
          <w:highlight w:val="none"/>
          <w:lang w:val="en-US" w:eastAsia="zh-CN"/>
        </w:rPr>
        <w:t>乡镇拓客、</w:t>
      </w:r>
      <w:r>
        <w:rPr>
          <w:rFonts w:hint="eastAsia" w:ascii="宋体" w:hAnsi="宋体" w:eastAsia="宋体" w:cs="宋体"/>
          <w:color w:val="auto"/>
          <w:sz w:val="21"/>
          <w:szCs w:val="21"/>
          <w:highlight w:val="none"/>
        </w:rPr>
        <w:t>展厅搭建及相应的拓客物料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val="en-US" w:eastAsia="zh-CN"/>
        </w:rPr>
        <w:t>推广</w:t>
      </w:r>
      <w:r>
        <w:rPr>
          <w:rFonts w:hint="eastAsia" w:ascii="宋体" w:hAnsi="宋体" w:eastAsia="宋体" w:cs="宋体"/>
          <w:color w:val="auto"/>
          <w:sz w:val="21"/>
          <w:szCs w:val="21"/>
          <w:highlight w:val="none"/>
        </w:rPr>
        <w:t>包含但不限于品牌活动、暖场活动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主题活动、圈层活动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营销</w:t>
      </w:r>
      <w:r>
        <w:rPr>
          <w:rFonts w:hint="eastAsia" w:ascii="宋体" w:hAnsi="宋体" w:eastAsia="宋体" w:cs="宋体"/>
          <w:color w:val="auto"/>
          <w:sz w:val="21"/>
          <w:szCs w:val="21"/>
          <w:highlight w:val="none"/>
        </w:rPr>
        <w:t>物料</w:t>
      </w:r>
      <w:r>
        <w:rPr>
          <w:rFonts w:hint="eastAsia" w:ascii="宋体" w:hAnsi="宋体" w:eastAsia="宋体" w:cs="宋体"/>
          <w:color w:val="auto"/>
          <w:sz w:val="21"/>
          <w:szCs w:val="21"/>
          <w:highlight w:val="none"/>
          <w:lang w:val="en-US" w:eastAsia="zh-CN"/>
        </w:rPr>
        <w:t>制作</w:t>
      </w:r>
      <w:r>
        <w:rPr>
          <w:rFonts w:hint="eastAsia" w:ascii="宋体" w:hAnsi="宋体" w:eastAsia="宋体" w:cs="宋体"/>
          <w:color w:val="auto"/>
          <w:sz w:val="21"/>
          <w:szCs w:val="21"/>
          <w:highlight w:val="none"/>
        </w:rPr>
        <w:t>包含但不限于日常物料印刷、项目效果图制作、成交及拓客等物料制作。</w:t>
      </w:r>
    </w:p>
    <w:p>
      <w:pPr>
        <w:pStyle w:val="24"/>
        <w:spacing w:after="0" w:line="360" w:lineRule="auto"/>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三、服务要求</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GZ458项目2024年渠道推广方案</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包含但不限于</w:t>
      </w:r>
      <w:r>
        <w:rPr>
          <w:rFonts w:hint="eastAsia" w:ascii="宋体" w:hAnsi="宋体" w:cs="宋体"/>
          <w:color w:val="auto"/>
          <w:sz w:val="21"/>
          <w:szCs w:val="21"/>
          <w:highlight w:val="none"/>
          <w:lang w:val="en-US" w:eastAsia="zh-CN"/>
        </w:rPr>
        <w:t>本项目服务期限内的</w:t>
      </w:r>
      <w:r>
        <w:rPr>
          <w:rFonts w:hint="eastAsia" w:ascii="宋体" w:hAnsi="宋体" w:eastAsia="宋体" w:cs="宋体"/>
          <w:color w:val="auto"/>
          <w:sz w:val="21"/>
          <w:szCs w:val="21"/>
          <w:highlight w:val="none"/>
          <w:lang w:val="en-US" w:eastAsia="zh-CN"/>
        </w:rPr>
        <w:t>媒体推广、</w:t>
      </w:r>
      <w:r>
        <w:rPr>
          <w:rFonts w:hint="eastAsia" w:ascii="宋体" w:hAnsi="宋体" w:eastAsia="宋体" w:cs="宋体"/>
          <w:color w:val="auto"/>
          <w:sz w:val="21"/>
          <w:szCs w:val="21"/>
          <w:highlight w:val="none"/>
        </w:rPr>
        <w:t>渠道拓客、活动</w:t>
      </w:r>
      <w:r>
        <w:rPr>
          <w:rFonts w:hint="eastAsia" w:ascii="宋体" w:hAnsi="宋体" w:eastAsia="宋体" w:cs="宋体"/>
          <w:color w:val="auto"/>
          <w:sz w:val="21"/>
          <w:szCs w:val="21"/>
          <w:highlight w:val="none"/>
          <w:lang w:val="en-US" w:eastAsia="zh-CN"/>
        </w:rPr>
        <w:t>推广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营销</w:t>
      </w:r>
      <w:r>
        <w:rPr>
          <w:rFonts w:hint="eastAsia" w:ascii="宋体" w:hAnsi="宋体" w:eastAsia="宋体" w:cs="宋体"/>
          <w:color w:val="auto"/>
          <w:sz w:val="21"/>
          <w:szCs w:val="21"/>
          <w:highlight w:val="none"/>
        </w:rPr>
        <w:t>物料</w:t>
      </w:r>
      <w:r>
        <w:rPr>
          <w:rFonts w:hint="eastAsia" w:ascii="宋体" w:hAnsi="宋体" w:eastAsia="宋体" w:cs="宋体"/>
          <w:color w:val="auto"/>
          <w:sz w:val="21"/>
          <w:szCs w:val="21"/>
          <w:highlight w:val="none"/>
          <w:lang w:val="en-US" w:eastAsia="zh-CN"/>
        </w:rPr>
        <w:t>制作等推广方案</w:t>
      </w:r>
      <w:r>
        <w:rPr>
          <w:rFonts w:hint="eastAsia" w:ascii="宋体" w:hAnsi="宋体" w:cs="宋体"/>
          <w:color w:val="auto"/>
          <w:sz w:val="21"/>
          <w:szCs w:val="21"/>
          <w:highlight w:val="none"/>
          <w:lang w:val="en-US" w:eastAsia="zh-CN"/>
        </w:rPr>
        <w:t>，投标报价清单明细应与推广方案相匹配</w:t>
      </w:r>
      <w:r>
        <w:rPr>
          <w:rFonts w:hint="eastAsia" w:ascii="宋体" w:hAnsi="宋体" w:eastAsia="宋体" w:cs="宋体"/>
          <w:color w:val="auto"/>
          <w:sz w:val="21"/>
          <w:szCs w:val="21"/>
          <w:highlight w:val="none"/>
        </w:rPr>
        <w:t>。</w:t>
      </w:r>
    </w:p>
    <w:p>
      <w:pPr>
        <w:pStyle w:val="24"/>
        <w:numPr>
          <w:ilvl w:val="0"/>
          <w:numId w:val="16"/>
        </w:numPr>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媒体推广要求：投标方案内媒体宣传通路须不少于10种，包括但不限于电视发声（电视报道、电视广告、节目广告等）、电台发声（电台广告、电台节目宣传等）、新媒体宣传（主播看房、选视频宣传片制作、抖音等视频号发布等）、户外宣传（商场大屏、主路口大屏、户外大牌等）、活动、赛事策划/冠名/合作、房展会等。</w:t>
      </w:r>
    </w:p>
    <w:p>
      <w:pPr>
        <w:pStyle w:val="24"/>
        <w:numPr>
          <w:ilvl w:val="0"/>
          <w:numId w:val="16"/>
        </w:numPr>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渠道拓客</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包含但不限于商超巡展、社区巡展、</w:t>
      </w:r>
      <w:r>
        <w:rPr>
          <w:rFonts w:hint="eastAsia" w:ascii="宋体" w:hAnsi="宋体" w:cs="宋体"/>
          <w:color w:val="auto"/>
          <w:sz w:val="21"/>
          <w:szCs w:val="21"/>
          <w:highlight w:val="none"/>
          <w:lang w:val="en-US" w:eastAsia="zh-CN"/>
        </w:rPr>
        <w:t>企业巡展、小蜜蜂等临时兼职等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具体不得低于以下要求：</w:t>
      </w:r>
    </w:p>
    <w:p>
      <w:pPr>
        <w:pStyle w:val="24"/>
        <w:numPr>
          <w:ilvl w:val="0"/>
          <w:numId w:val="0"/>
        </w:numPr>
        <w:spacing w:after="0" w:line="360" w:lineRule="auto"/>
        <w:ind w:left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1.商超巡展：</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eastAsia="宋体" w:cs="宋体"/>
          <w:color w:val="auto"/>
          <w:sz w:val="21"/>
          <w:szCs w:val="21"/>
          <w:highlight w:val="none"/>
        </w:rPr>
        <w:t>展点展位</w:t>
      </w:r>
      <w:r>
        <w:rPr>
          <w:rFonts w:hint="eastAsia" w:ascii="宋体" w:hAnsi="宋体" w:cs="宋体"/>
          <w:color w:val="auto"/>
          <w:sz w:val="21"/>
          <w:szCs w:val="21"/>
          <w:highlight w:val="none"/>
          <w:lang w:val="en-US" w:eastAsia="zh-CN"/>
        </w:rPr>
        <w:t>租赁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相关</w:t>
      </w:r>
      <w:r>
        <w:rPr>
          <w:rFonts w:hint="eastAsia" w:ascii="宋体" w:hAnsi="宋体" w:cs="宋体"/>
          <w:color w:val="auto"/>
          <w:sz w:val="21"/>
          <w:szCs w:val="21"/>
          <w:highlight w:val="none"/>
          <w:lang w:val="en-US" w:eastAsia="zh-CN"/>
        </w:rPr>
        <w:t>展点物料</w:t>
      </w:r>
      <w:r>
        <w:rPr>
          <w:rFonts w:hint="eastAsia" w:ascii="宋体" w:hAnsi="宋体" w:eastAsia="宋体" w:cs="宋体"/>
          <w:color w:val="auto"/>
          <w:sz w:val="21"/>
          <w:szCs w:val="21"/>
          <w:highlight w:val="none"/>
        </w:rPr>
        <w:t>制作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到访小礼品等相关费用；</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时间要求：项目首次开盘前，巡展时间不少于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个月；</w:t>
      </w:r>
    </w:p>
    <w:p>
      <w:pPr>
        <w:pStyle w:val="24"/>
        <w:numPr>
          <w:ilvl w:val="0"/>
          <w:numId w:val="8"/>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京华城等主流商场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大型购物中心核心位置。</w:t>
      </w:r>
    </w:p>
    <w:p>
      <w:pPr>
        <w:pStyle w:val="24"/>
        <w:numPr>
          <w:ilvl w:val="0"/>
          <w:numId w:val="0"/>
        </w:numPr>
        <w:spacing w:after="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2.社区巡展：</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cs="宋体"/>
          <w:color w:val="auto"/>
          <w:sz w:val="21"/>
          <w:szCs w:val="21"/>
          <w:highlight w:val="none"/>
          <w:lang w:val="en-US" w:eastAsia="zh-CN"/>
        </w:rPr>
        <w:t>社区活动、展位租赁、社区路演等巡展活动，含</w:t>
      </w:r>
      <w:r>
        <w:rPr>
          <w:rFonts w:hint="eastAsia" w:ascii="宋体" w:hAnsi="宋体" w:eastAsia="宋体" w:cs="宋体"/>
          <w:color w:val="auto"/>
          <w:sz w:val="21"/>
          <w:szCs w:val="21"/>
          <w:highlight w:val="none"/>
        </w:rPr>
        <w:t>展点展位制作</w:t>
      </w:r>
      <w:r>
        <w:rPr>
          <w:rFonts w:hint="eastAsia" w:ascii="宋体" w:hAnsi="宋体" w:cs="宋体"/>
          <w:color w:val="auto"/>
          <w:sz w:val="21"/>
          <w:szCs w:val="21"/>
          <w:highlight w:val="none"/>
          <w:lang w:val="en-US" w:eastAsia="zh-CN"/>
        </w:rPr>
        <w:t>等相关费用；</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w:t>
      </w:r>
      <w:r>
        <w:rPr>
          <w:rFonts w:hint="eastAsia" w:ascii="宋体" w:hAnsi="宋体" w:cs="宋体"/>
          <w:color w:val="auto"/>
          <w:sz w:val="21"/>
          <w:szCs w:val="21"/>
          <w:highlight w:val="none"/>
          <w:lang w:val="en-US" w:eastAsia="zh-CN"/>
        </w:rPr>
        <w:t>开盘及重大节点</w:t>
      </w:r>
      <w:r>
        <w:rPr>
          <w:rFonts w:hint="eastAsia" w:ascii="宋体" w:hAnsi="宋体" w:eastAsia="宋体" w:cs="宋体"/>
          <w:color w:val="auto"/>
          <w:sz w:val="21"/>
          <w:szCs w:val="21"/>
          <w:highlight w:val="none"/>
          <w:lang w:val="en-US" w:eastAsia="zh-CN"/>
        </w:rPr>
        <w:t>，巡展时间不少于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w:t>
      </w:r>
    </w:p>
    <w:p>
      <w:pPr>
        <w:pStyle w:val="24"/>
        <w:numPr>
          <w:ilvl w:val="0"/>
          <w:numId w:val="9"/>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cs="宋体"/>
          <w:color w:val="auto"/>
          <w:sz w:val="21"/>
          <w:szCs w:val="21"/>
          <w:highlight w:val="none"/>
          <w:lang w:val="en-US" w:eastAsia="zh-CN"/>
        </w:rPr>
        <w:t>项目辐射范围内优质社区</w:t>
      </w:r>
      <w:r>
        <w:rPr>
          <w:rFonts w:hint="eastAsia" w:ascii="宋体" w:hAnsi="宋体" w:eastAsia="宋体" w:cs="宋体"/>
          <w:color w:val="auto"/>
          <w:sz w:val="21"/>
          <w:szCs w:val="21"/>
          <w:highlight w:val="none"/>
          <w:lang w:val="en-US" w:eastAsia="zh-CN"/>
        </w:rPr>
        <w:t>。</w:t>
      </w:r>
    </w:p>
    <w:p>
      <w:pPr>
        <w:pStyle w:val="24"/>
        <w:numPr>
          <w:ilvl w:val="0"/>
          <w:numId w:val="0"/>
        </w:numPr>
        <w:spacing w:after="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3.企业巡展：</w:t>
      </w:r>
    </w:p>
    <w:p>
      <w:pPr>
        <w:pStyle w:val="24"/>
        <w:numPr>
          <w:ilvl w:val="0"/>
          <w:numId w:val="1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巡展内容：</w:t>
      </w:r>
      <w:r>
        <w:rPr>
          <w:rFonts w:hint="eastAsia" w:ascii="宋体" w:hAnsi="宋体" w:cs="宋体"/>
          <w:color w:val="auto"/>
          <w:sz w:val="21"/>
          <w:szCs w:val="21"/>
          <w:highlight w:val="none"/>
          <w:lang w:val="en-US" w:eastAsia="zh-CN"/>
        </w:rPr>
        <w:t>巡展展点租赁、物料</w:t>
      </w:r>
      <w:r>
        <w:rPr>
          <w:rFonts w:hint="eastAsia" w:ascii="宋体" w:hAnsi="宋体" w:eastAsia="宋体" w:cs="宋体"/>
          <w:color w:val="auto"/>
          <w:sz w:val="21"/>
          <w:szCs w:val="21"/>
          <w:highlight w:val="none"/>
        </w:rPr>
        <w:t>制作</w:t>
      </w:r>
      <w:r>
        <w:rPr>
          <w:rFonts w:hint="eastAsia" w:ascii="宋体" w:hAnsi="宋体" w:cs="宋体"/>
          <w:color w:val="auto"/>
          <w:sz w:val="21"/>
          <w:szCs w:val="21"/>
          <w:highlight w:val="none"/>
          <w:lang w:val="en-US" w:eastAsia="zh-CN"/>
        </w:rPr>
        <w:t>等相关费用；</w:t>
      </w:r>
    </w:p>
    <w:p>
      <w:pPr>
        <w:pStyle w:val="24"/>
        <w:numPr>
          <w:ilvl w:val="0"/>
          <w:numId w:val="1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时间要求：</w:t>
      </w:r>
      <w:r>
        <w:rPr>
          <w:rFonts w:hint="eastAsia" w:ascii="宋体" w:hAnsi="宋体" w:cs="宋体"/>
          <w:color w:val="auto"/>
          <w:sz w:val="21"/>
          <w:szCs w:val="21"/>
          <w:highlight w:val="none"/>
          <w:lang w:val="en-US" w:eastAsia="zh-CN"/>
        </w:rPr>
        <w:t>开盘及重大节点</w:t>
      </w:r>
      <w:r>
        <w:rPr>
          <w:rFonts w:hint="eastAsia" w:ascii="宋体" w:hAnsi="宋体" w:eastAsia="宋体" w:cs="宋体"/>
          <w:color w:val="auto"/>
          <w:sz w:val="21"/>
          <w:szCs w:val="21"/>
          <w:highlight w:val="none"/>
          <w:lang w:val="en-US" w:eastAsia="zh-CN"/>
        </w:rPr>
        <w:t>，巡展时间不少于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w:t>
      </w:r>
    </w:p>
    <w:p>
      <w:pPr>
        <w:pStyle w:val="24"/>
        <w:numPr>
          <w:ilvl w:val="0"/>
          <w:numId w:val="10"/>
        </w:numPr>
        <w:spacing w:after="0" w:line="360" w:lineRule="auto"/>
        <w:ind w:left="0" w:leftChars="0" w:firstLine="420" w:firstLineChars="200"/>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场地要求：</w:t>
      </w:r>
      <w:r>
        <w:rPr>
          <w:rFonts w:hint="eastAsia" w:ascii="宋体" w:hAnsi="宋体" w:cs="宋体"/>
          <w:color w:val="auto"/>
          <w:sz w:val="21"/>
          <w:szCs w:val="21"/>
          <w:highlight w:val="none"/>
          <w:lang w:val="en-US" w:eastAsia="zh-CN"/>
        </w:rPr>
        <w:t>项目辐射范围内优质企业</w:t>
      </w:r>
      <w:r>
        <w:rPr>
          <w:rFonts w:hint="eastAsia" w:ascii="宋体" w:hAnsi="宋体" w:eastAsia="宋体" w:cs="宋体"/>
          <w:color w:val="auto"/>
          <w:sz w:val="21"/>
          <w:szCs w:val="21"/>
          <w:highlight w:val="none"/>
          <w:lang w:val="en-US" w:eastAsia="zh-CN"/>
        </w:rPr>
        <w:t>。</w:t>
      </w:r>
    </w:p>
    <w:p>
      <w:pPr>
        <w:pStyle w:val="24"/>
        <w:numPr>
          <w:ilvl w:val="0"/>
          <w:numId w:val="16"/>
        </w:numPr>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活动推广要求：</w:t>
      </w:r>
      <w:r>
        <w:rPr>
          <w:rFonts w:hint="eastAsia" w:ascii="宋体" w:hAnsi="宋体" w:eastAsia="宋体" w:cs="宋体"/>
          <w:color w:val="auto"/>
          <w:sz w:val="21"/>
          <w:szCs w:val="21"/>
          <w:highlight w:val="none"/>
        </w:rPr>
        <w:t>包含但不限于品牌活动、暖场活动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主题活动、圈层活动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各项活动种类、频次及规模不得低于以下要求：</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维投地产</w:t>
      </w:r>
      <w:r>
        <w:rPr>
          <w:rFonts w:hint="eastAsia" w:ascii="宋体" w:hAnsi="宋体" w:eastAsia="宋体" w:cs="宋体"/>
          <w:color w:val="auto"/>
          <w:sz w:val="21"/>
          <w:szCs w:val="21"/>
          <w:highlight w:val="none"/>
        </w:rPr>
        <w:t>品牌活动</w:t>
      </w:r>
      <w:r>
        <w:rPr>
          <w:rFonts w:hint="eastAsia" w:ascii="宋体" w:hAnsi="宋体" w:cs="宋体"/>
          <w:color w:val="auto"/>
          <w:sz w:val="21"/>
          <w:szCs w:val="21"/>
          <w:highlight w:val="none"/>
          <w:lang w:eastAsia="zh-CN"/>
        </w:rPr>
        <w:t>：</w:t>
      </w:r>
    </w:p>
    <w:p>
      <w:pPr>
        <w:pStyle w:val="24"/>
        <w:numPr>
          <w:ilvl w:val="0"/>
          <w:numId w:val="17"/>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要求活动人数不低于50人</w:t>
      </w:r>
      <w:r>
        <w:rPr>
          <w:rFonts w:hint="eastAsia" w:ascii="宋体" w:hAnsi="宋体" w:eastAsia="宋体" w:cs="宋体"/>
          <w:color w:val="auto"/>
          <w:sz w:val="21"/>
          <w:szCs w:val="21"/>
          <w:highlight w:val="none"/>
          <w:lang w:eastAsia="zh-CN"/>
        </w:rPr>
        <w:t>；</w:t>
      </w:r>
    </w:p>
    <w:p>
      <w:pPr>
        <w:pStyle w:val="24"/>
        <w:numPr>
          <w:ilvl w:val="0"/>
          <w:numId w:val="17"/>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不少于10家媒体</w:t>
      </w:r>
      <w:r>
        <w:rPr>
          <w:rFonts w:hint="eastAsia" w:ascii="宋体" w:hAnsi="宋体" w:eastAsia="宋体" w:cs="宋体"/>
          <w:color w:val="auto"/>
          <w:sz w:val="21"/>
          <w:szCs w:val="21"/>
          <w:highlight w:val="none"/>
          <w:lang w:val="en-US" w:eastAsia="zh-CN"/>
        </w:rPr>
        <w:t>参与并进行报道</w:t>
      </w:r>
      <w:r>
        <w:rPr>
          <w:rFonts w:hint="eastAsia" w:ascii="宋体" w:hAnsi="宋体" w:eastAsia="宋体" w:cs="宋体"/>
          <w:color w:val="auto"/>
          <w:sz w:val="21"/>
          <w:szCs w:val="21"/>
          <w:highlight w:val="none"/>
          <w:lang w:eastAsia="zh-CN"/>
        </w:rPr>
        <w:t>；</w:t>
      </w:r>
    </w:p>
    <w:p>
      <w:pPr>
        <w:pStyle w:val="24"/>
        <w:numPr>
          <w:ilvl w:val="0"/>
          <w:numId w:val="17"/>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扬州市内四星级及以上酒店举办</w:t>
      </w:r>
      <w:r>
        <w:rPr>
          <w:rFonts w:hint="eastAsia" w:ascii="宋体" w:hAnsi="宋体" w:eastAsia="宋体" w:cs="宋体"/>
          <w:color w:val="auto"/>
          <w:sz w:val="21"/>
          <w:szCs w:val="21"/>
          <w:highlight w:val="none"/>
          <w:lang w:eastAsia="zh-CN"/>
        </w:rPr>
        <w:t>。</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.板块区位价值论坛</w:t>
      </w:r>
      <w:r>
        <w:rPr>
          <w:rFonts w:hint="eastAsia" w:ascii="宋体" w:hAnsi="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要求活动人数不低于50人</w:t>
      </w:r>
      <w:r>
        <w:rPr>
          <w:rFonts w:hint="eastAsia" w:ascii="宋体" w:hAnsi="宋体" w:eastAsia="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邀请4位以上专家学者参与并论坛研讨，并邀请不少于10家媒体参与并进行报道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2"/>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r>
        <w:rPr>
          <w:rFonts w:hint="eastAsia" w:ascii="宋体" w:hAnsi="宋体" w:eastAsia="宋体" w:cs="宋体"/>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.案名解析会</w:t>
      </w:r>
      <w:r>
        <w:rPr>
          <w:rFonts w:hint="eastAsia" w:ascii="宋体" w:hAnsi="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邀请4位以上文化名人参与并案名解析，并邀请不少于10家媒体参与并进行报道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3"/>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w:t>
      </w:r>
      <w:r>
        <w:rPr>
          <w:rFonts w:hint="eastAsia" w:ascii="宋体" w:hAnsi="宋体" w:eastAsia="宋体" w:cs="宋体"/>
          <w:color w:val="auto"/>
          <w:sz w:val="21"/>
          <w:szCs w:val="21"/>
          <w:highlight w:val="none"/>
        </w:rPr>
        <w:t>扬州市内四星级及以上酒店举办。</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.售楼处及样板房开放活动</w:t>
      </w:r>
      <w:r>
        <w:rPr>
          <w:rFonts w:hint="eastAsia" w:ascii="宋体" w:hAnsi="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4"/>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p>
    <w:p>
      <w:pPr>
        <w:pStyle w:val="24"/>
        <w:spacing w:after="0"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.项目产品说明会</w:t>
      </w:r>
      <w:r>
        <w:rPr>
          <w:rFonts w:hint="eastAsia" w:ascii="宋体" w:hAnsi="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15"/>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场地要求：售楼处或者示范区布置场地</w:t>
      </w:r>
      <w:r>
        <w:rPr>
          <w:rFonts w:hint="eastAsia" w:ascii="宋体" w:hAnsi="宋体" w:eastAsia="宋体" w:cs="宋体"/>
          <w:color w:val="auto"/>
          <w:sz w:val="21"/>
          <w:szCs w:val="21"/>
          <w:highlight w:val="none"/>
          <w:lang w:eastAsia="zh-CN"/>
        </w:rPr>
        <w:t>。</w:t>
      </w:r>
    </w:p>
    <w:p>
      <w:pPr>
        <w:pStyle w:val="24"/>
        <w:numPr>
          <w:ilvl w:val="0"/>
          <w:numId w:val="18"/>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项目开盘活动</w:t>
      </w:r>
      <w:r>
        <w:rPr>
          <w:rFonts w:hint="eastAsia" w:ascii="宋体" w:hAnsi="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szCs w:val="21"/>
          <w:highlight w:val="none"/>
          <w:lang w:val="en-US" w:eastAsia="zh-CN"/>
        </w:rPr>
        <w:t>参与人数：</w:t>
      </w:r>
      <w:r>
        <w:rPr>
          <w:rFonts w:hint="eastAsia" w:ascii="宋体" w:hAnsi="宋体" w:eastAsia="宋体" w:cs="宋体"/>
          <w:color w:val="auto"/>
          <w:sz w:val="21"/>
          <w:szCs w:val="21"/>
          <w:highlight w:val="none"/>
        </w:rPr>
        <w:t>要求活动人数不低于</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lang w:val="en-US" w:eastAsia="zh-CN"/>
        </w:rPr>
        <w:t>嘉宾要求：</w:t>
      </w:r>
      <w:r>
        <w:rPr>
          <w:rFonts w:hint="eastAsia" w:ascii="宋体" w:hAnsi="宋体" w:eastAsia="宋体" w:cs="宋体"/>
          <w:color w:val="auto"/>
          <w:sz w:val="21"/>
          <w:szCs w:val="21"/>
          <w:highlight w:val="none"/>
        </w:rPr>
        <w:t>邀请不少于10家媒体参与并进行报道</w:t>
      </w:r>
      <w:r>
        <w:rPr>
          <w:rFonts w:hint="eastAsia" w:ascii="宋体" w:hAnsi="宋体" w:eastAsia="宋体" w:cs="宋体"/>
          <w:color w:val="auto"/>
          <w:sz w:val="21"/>
          <w:szCs w:val="21"/>
          <w:highlight w:val="none"/>
          <w:lang w:eastAsia="zh-CN"/>
        </w:rPr>
        <w:t>；</w:t>
      </w:r>
    </w:p>
    <w:p>
      <w:pPr>
        <w:pStyle w:val="24"/>
        <w:numPr>
          <w:ilvl w:val="0"/>
          <w:numId w:val="0"/>
        </w:numPr>
        <w:spacing w:after="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lang w:val="en-US" w:eastAsia="zh-CN"/>
        </w:rPr>
        <w:t>场地要求：售楼处或者示范区布置场地。</w:t>
      </w:r>
    </w:p>
    <w:p>
      <w:pPr>
        <w:pStyle w:val="24"/>
        <w:numPr>
          <w:ilvl w:val="0"/>
          <w:numId w:val="18"/>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暖场活动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服务期内</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按周</w:t>
      </w:r>
      <w:r>
        <w:rPr>
          <w:rFonts w:hint="eastAsia" w:ascii="宋体" w:hAnsi="宋体" w:eastAsia="宋体" w:cs="宋体"/>
          <w:color w:val="auto"/>
          <w:sz w:val="21"/>
          <w:szCs w:val="21"/>
          <w:highlight w:val="none"/>
        </w:rPr>
        <w:t>举办暖场活动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特殊节点如国庆、元旦、春节等需举办节日系列暖场活动</w:t>
      </w:r>
      <w:r>
        <w:rPr>
          <w:rFonts w:hint="eastAsia" w:ascii="宋体" w:hAnsi="宋体" w:cs="宋体"/>
          <w:color w:val="auto"/>
          <w:sz w:val="21"/>
          <w:szCs w:val="21"/>
          <w:highlight w:val="none"/>
          <w:lang w:val="en-US" w:eastAsia="zh-CN"/>
        </w:rPr>
        <w:t>，活动形式不限于：各类DIY活动、嘉年华活动、讲座活动、品鉴活动、节点主题活动等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pStyle w:val="24"/>
        <w:numPr>
          <w:ilvl w:val="0"/>
          <w:numId w:val="18"/>
        </w:numPr>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圈层活动：</w:t>
      </w:r>
      <w:r>
        <w:rPr>
          <w:rFonts w:hint="eastAsia" w:ascii="宋体" w:hAnsi="宋体" w:eastAsia="宋体" w:cs="宋体"/>
          <w:color w:val="auto"/>
          <w:sz w:val="21"/>
          <w:szCs w:val="21"/>
          <w:highlight w:val="none"/>
        </w:rPr>
        <w:t>服务期内</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甲方需求</w:t>
      </w:r>
      <w:r>
        <w:rPr>
          <w:rFonts w:hint="eastAsia" w:ascii="宋体" w:hAnsi="宋体" w:eastAsia="宋体" w:cs="宋体"/>
          <w:color w:val="auto"/>
          <w:sz w:val="21"/>
          <w:szCs w:val="21"/>
          <w:highlight w:val="none"/>
        </w:rPr>
        <w:t>举办</w:t>
      </w:r>
      <w:r>
        <w:rPr>
          <w:rFonts w:hint="eastAsia" w:ascii="宋体" w:hAnsi="宋体" w:cs="宋体"/>
          <w:color w:val="auto"/>
          <w:sz w:val="21"/>
          <w:szCs w:val="21"/>
          <w:highlight w:val="none"/>
          <w:lang w:val="en-US" w:eastAsia="zh-CN"/>
        </w:rPr>
        <w:t>圈层</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针对大客户、圈层客户、商会客户、业主等组织的各类活动。形式不限于：业主家宴、业主回馈、运动会、特色主题活动等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pStyle w:val="24"/>
        <w:spacing w:after="0" w:line="360" w:lineRule="auto"/>
        <w:ind w:left="0" w:leftChars="0"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四、项目人员配置要求</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4"/>
        <w:gridCol w:w="2489"/>
        <w:gridCol w:w="2489"/>
        <w:gridCol w:w="2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项目人员配置表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岗位</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人数</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项目统筹</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项目负责人</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项目客户主管</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策划条线</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策略总监</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策略经理</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推广条线</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媒体推广总监</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活动创意总监</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媒介拓展总监</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营销制作</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视频创意总监</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物料统筹经理</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备注：以上人员配置为项目人员基本要求，投标单位根据实际方案进行调整，但配置数量及标准不得低于此表要求。</w:t>
            </w:r>
          </w:p>
        </w:tc>
      </w:tr>
    </w:tbl>
    <w:p>
      <w:pPr>
        <w:rPr>
          <w:rFonts w:hint="eastAsia"/>
          <w:color w:val="auto"/>
          <w:highlight w:val="none"/>
        </w:rPr>
      </w:pPr>
    </w:p>
    <w:p>
      <w:pP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pPr>
        <w:pStyle w:val="10"/>
        <w:spacing w:before="0" w:after="0" w:line="360" w:lineRule="auto"/>
        <w:ind w:firstLine="723" w:firstLineChars="200"/>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第五章 评标方法及评标标准</w:t>
      </w:r>
      <w:bookmarkEnd w:id="124"/>
      <w:bookmarkEnd w:id="125"/>
      <w:bookmarkEnd w:id="126"/>
    </w:p>
    <w:p>
      <w:pPr>
        <w:pStyle w:val="160"/>
        <w:spacing w:before="0" w:after="0"/>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一、评标方法</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60"/>
        <w:spacing w:before="0" w:after="0" w:line="24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二、评标标准</w:t>
      </w: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7"/>
        <w:gridCol w:w="7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价格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（20分）</w:t>
            </w: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color w:val="auto"/>
                <w:highlight w:val="none"/>
              </w:rPr>
            </w:pPr>
            <w:r>
              <w:rPr>
                <w:rFonts w:hint="eastAsia" w:ascii="宋体" w:hAnsi="宋体" w:eastAsia="宋体" w:cs="宋体"/>
                <w:i w:val="0"/>
                <w:iCs w:val="0"/>
                <w:color w:val="auto"/>
                <w:kern w:val="0"/>
                <w:sz w:val="21"/>
                <w:szCs w:val="21"/>
                <w:highlight w:val="none"/>
                <w:u w:val="none"/>
                <w:lang w:val="en-US" w:eastAsia="zh-CN" w:bidi="ar"/>
              </w:rPr>
              <w:t>以满足招标文件要求的最低投标报价</w:t>
            </w:r>
            <w:r>
              <w:rPr>
                <w:rFonts w:hint="eastAsia" w:ascii="宋体" w:hAnsi="宋体" w:cs="宋体"/>
                <w:i w:val="0"/>
                <w:iCs w:val="0"/>
                <w:color w:val="auto"/>
                <w:kern w:val="0"/>
                <w:sz w:val="21"/>
                <w:szCs w:val="21"/>
                <w:highlight w:val="none"/>
                <w:u w:val="none"/>
                <w:lang w:val="en-US" w:eastAsia="zh-CN" w:bidi="ar"/>
              </w:rPr>
              <w:t>（不含税总价）</w:t>
            </w:r>
            <w:r>
              <w:rPr>
                <w:rFonts w:hint="eastAsia" w:ascii="宋体" w:hAnsi="宋体" w:eastAsia="宋体" w:cs="宋体"/>
                <w:i w:val="0"/>
                <w:iCs w:val="0"/>
                <w:color w:val="auto"/>
                <w:kern w:val="0"/>
                <w:sz w:val="21"/>
                <w:szCs w:val="21"/>
                <w:highlight w:val="none"/>
                <w:u w:val="none"/>
                <w:lang w:val="en-US" w:eastAsia="zh-CN" w:bidi="ar"/>
              </w:rPr>
              <w:t>为评标基准价，得满分20分,其他报价得分＝（评标基准价/其他投标价）×20×100%（保留两位小数）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评审委员会认为供应商的报价明显低于其他通过符合性审查供应商的报价，有可能影响服务质量或者不能诚信履约的，应当要求其在评审现场合理的时间内提供书面说明，必要时提交相关证明材料；投标人不能证明其报价合理性的，评审委员会应当将其作为无效响应处理。</w:t>
            </w:r>
          </w:p>
          <w:p>
            <w:pPr>
              <w:keepNext w:val="0"/>
              <w:keepLines w:val="0"/>
              <w:widowControl/>
              <w:numPr>
                <w:ilvl w:val="0"/>
                <w:numId w:val="0"/>
              </w:numPr>
              <w:suppressLineNumbers w:val="0"/>
              <w:spacing w:line="240" w:lineRule="auto"/>
              <w:ind w:firstLine="420" w:firstLineChars="200"/>
              <w:jc w:val="left"/>
              <w:textAlignment w:val="center"/>
              <w:rPr>
                <w:rFonts w:hint="eastAsia"/>
                <w:color w:val="auto"/>
                <w:highlight w:val="none"/>
              </w:rPr>
            </w:pPr>
            <w:r>
              <w:rPr>
                <w:rFonts w:hint="eastAsia"/>
                <w:color w:val="auto"/>
                <w:highlight w:val="none"/>
                <w:lang w:val="en-US" w:eastAsia="zh-CN"/>
              </w:rPr>
              <w:t>2.本次评标比较各投标人不含税总价。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（40分）</w:t>
            </w: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1、针对本项目的营销活动方案进行比较：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a.活动流程安排科学合理，操作性高，得10分；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b.活动流程安排较科学合理，操作性较高，得7分；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c.基本合理、描述一般得5分；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d.活动流程安排简单，操作性较差，安全预案、突发事件解决考虑简单的得2分；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highlight w:val="none"/>
                <w:u w:val="none"/>
              </w:rPr>
            </w:pP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2、针对本项目提供媒介合作方案进行比较：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a.内容丰富精彩、形式新颖多样、吸引力强得10分；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b.内容丰富度较高、形式新颖性较强、吸引力较好得7分；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c.内容丰富度一般、形式新颖性一般、吸引力一般得5分；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d.具有明显不合理项、描述欠缺、存在实施难度得2分；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highlight w:val="none"/>
                <w:u w:val="none"/>
              </w:rPr>
            </w:pP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3、针对本项目的拓客巡展方案进行比较：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a.实施方案框架完整、技术路线合理得10分；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b.理解较透彻、框架基本完整、技术路线较合理、方案较合理、严密得7分；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c.基本合理、描述一般得5分；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d.具有明显不合理项、描述欠缺、存在实施难度得2分；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highlight w:val="none"/>
                <w:u w:val="none"/>
              </w:rPr>
            </w:pP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4、针对本项目的物料、营销</w:t>
            </w:r>
            <w:r>
              <w:rPr>
                <w:rFonts w:hint="eastAsia" w:ascii="宋体" w:hAnsi="宋体" w:cs="宋体"/>
                <w:i w:val="0"/>
                <w:iCs w:val="0"/>
                <w:color w:val="auto"/>
                <w:kern w:val="0"/>
                <w:sz w:val="21"/>
                <w:szCs w:val="21"/>
                <w:highlight w:val="none"/>
                <w:u w:val="none"/>
                <w:lang w:val="en-US" w:eastAsia="zh-CN" w:bidi="ar"/>
              </w:rPr>
              <w:t>物料</w:t>
            </w:r>
            <w:r>
              <w:rPr>
                <w:rFonts w:hint="eastAsia" w:ascii="宋体" w:hAnsi="宋体" w:eastAsia="宋体" w:cs="宋体"/>
                <w:i w:val="0"/>
                <w:iCs w:val="0"/>
                <w:color w:val="auto"/>
                <w:kern w:val="0"/>
                <w:sz w:val="21"/>
                <w:szCs w:val="21"/>
                <w:highlight w:val="none"/>
                <w:u w:val="none"/>
                <w:lang w:val="en-US" w:eastAsia="zh-CN" w:bidi="ar"/>
              </w:rPr>
              <w:t>采购方案进行比较：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a.方案合理、服务及时、响应迅速、与项目需求贴合度高得10分；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b.方案较合理、服务较及时、响应一般、较符合项目需求得7分；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c.方案合理性一般、服务不及时、响应较慢、不太符合项目需求的得5分；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d.方案有明显不合理项、描述欠缺的得2分；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left="0" w:leftChars="0" w:firstLine="0" w:firstLineChars="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人员配备</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20分</w:t>
            </w:r>
            <w:r>
              <w:rPr>
                <w:rFonts w:hint="eastAsia" w:ascii="宋体" w:hAnsi="宋体" w:cs="宋体"/>
                <w:i w:val="0"/>
                <w:iCs w:val="0"/>
                <w:color w:val="auto"/>
                <w:sz w:val="21"/>
                <w:szCs w:val="21"/>
                <w:highlight w:val="none"/>
                <w:u w:val="none"/>
                <w:lang w:eastAsia="zh-CN"/>
              </w:rPr>
              <w:t>）</w:t>
            </w: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left"/>
              <w:textAlignment w:val="center"/>
              <w:rPr>
                <w:rFonts w:hint="eastAsia" w:ascii="宋体" w:hAnsi="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拟投入项目团队成员包括但不限于：</w:t>
            </w:r>
            <w:r>
              <w:rPr>
                <w:rFonts w:hint="eastAsia" w:ascii="宋体" w:hAnsi="宋体" w:eastAsia="宋体" w:cs="宋体"/>
                <w:i w:val="0"/>
                <w:iCs w:val="0"/>
                <w:color w:val="auto"/>
                <w:kern w:val="0"/>
                <w:sz w:val="21"/>
                <w:szCs w:val="21"/>
                <w:highlight w:val="none"/>
                <w:u w:val="none"/>
                <w:lang w:val="en-US" w:eastAsia="zh-CN" w:bidi="ar"/>
              </w:rPr>
              <w:t>项目负责人、策略总监、媒体推广总监、活动创意总监、媒介拓展总监、视频创意总监、物料统筹经理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根据招标要求每增配1名</w:t>
            </w:r>
            <w:r>
              <w:rPr>
                <w:rFonts w:hint="eastAsia" w:ascii="宋体" w:hAnsi="宋体" w:eastAsia="宋体" w:cs="宋体"/>
                <w:i w:val="0"/>
                <w:iCs w:val="0"/>
                <w:color w:val="auto"/>
                <w:kern w:val="0"/>
                <w:sz w:val="21"/>
                <w:szCs w:val="21"/>
                <w:highlight w:val="none"/>
                <w:u w:val="none"/>
                <w:lang w:val="en-US" w:eastAsia="zh-CN" w:bidi="ar"/>
              </w:rPr>
              <w:t>项目客户主管（或策略经理）</w:t>
            </w:r>
            <w:r>
              <w:rPr>
                <w:rFonts w:hint="eastAsia" w:ascii="宋体" w:hAnsi="宋体" w:cs="宋体"/>
                <w:color w:val="auto"/>
                <w:szCs w:val="21"/>
                <w:highlight w:val="none"/>
                <w:lang w:val="en-US" w:eastAsia="zh-CN" w:bidi="ar"/>
              </w:rPr>
              <w:t>加2分，本项最高得4分。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2、拟派人员中获得传媒类中级及以上职称的，每有1人得2分，</w:t>
            </w:r>
            <w:r>
              <w:rPr>
                <w:rFonts w:hint="eastAsia" w:ascii="宋体" w:hAnsi="宋体" w:eastAsia="宋体" w:cs="宋体"/>
                <w:color w:val="auto"/>
                <w:szCs w:val="21"/>
                <w:highlight w:val="none"/>
                <w:lang w:eastAsia="zh-CN"/>
                <w14:ligatures w14:val="none"/>
              </w:rPr>
              <w:t>本项最高得</w:t>
            </w:r>
            <w:r>
              <w:rPr>
                <w:rFonts w:hint="eastAsia" w:ascii="宋体" w:hAnsi="宋体" w:eastAsia="宋体" w:cs="宋体"/>
                <w:color w:val="auto"/>
                <w:szCs w:val="21"/>
                <w:highlight w:val="none"/>
                <w:lang w:val="en-US" w:eastAsia="zh-CN"/>
                <w14:ligatures w14:val="none"/>
              </w:rPr>
              <w:t>6</w:t>
            </w:r>
            <w:r>
              <w:rPr>
                <w:rFonts w:hint="eastAsia" w:ascii="宋体" w:hAnsi="宋体" w:eastAsia="宋体" w:cs="宋体"/>
                <w:color w:val="auto"/>
                <w:szCs w:val="21"/>
                <w:highlight w:val="none"/>
                <w:lang w:eastAsia="zh-CN"/>
                <w14:ligatures w14:val="none"/>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3、2021年1月1日以来</w:t>
            </w:r>
            <w:r>
              <w:rPr>
                <w:rFonts w:hint="eastAsia" w:ascii="宋体" w:hAnsi="宋体" w:cs="宋体"/>
                <w:b w:val="0"/>
                <w:bCs w:val="0"/>
                <w:color w:val="auto"/>
                <w:kern w:val="0"/>
                <w:highlight w:val="none"/>
                <w:lang w:eastAsia="zh-CN"/>
              </w:rPr>
              <w:t>（</w:t>
            </w:r>
            <w:r>
              <w:rPr>
                <w:rFonts w:hint="eastAsia" w:ascii="宋体" w:hAnsi="宋体" w:eastAsia="宋体" w:cs="宋体"/>
                <w:b w:val="0"/>
                <w:bCs w:val="0"/>
                <w:color w:val="auto"/>
                <w:szCs w:val="21"/>
                <w:highlight w:val="none"/>
                <w:lang w:eastAsia="zh-CN"/>
                <w14:ligatures w14:val="none"/>
              </w:rPr>
              <w:t>以</w:t>
            </w:r>
            <w:r>
              <w:rPr>
                <w:rFonts w:hint="eastAsia" w:ascii="宋体" w:hAnsi="宋体" w:eastAsia="宋体" w:cs="宋体"/>
                <w:b w:val="0"/>
                <w:bCs w:val="0"/>
                <w:color w:val="auto"/>
                <w:szCs w:val="21"/>
                <w:highlight w:val="none"/>
                <w14:ligatures w14:val="none"/>
              </w:rPr>
              <w:t>表彰文件</w:t>
            </w:r>
            <w:r>
              <w:rPr>
                <w:rFonts w:hint="eastAsia" w:ascii="宋体" w:hAnsi="宋体" w:eastAsia="宋体" w:cs="宋体"/>
                <w:b w:val="0"/>
                <w:bCs w:val="0"/>
                <w:color w:val="auto"/>
                <w:szCs w:val="21"/>
                <w:highlight w:val="none"/>
                <w:lang w:val="en-US" w:eastAsia="zh-CN"/>
                <w14:ligatures w14:val="none"/>
              </w:rPr>
              <w:t>或</w:t>
            </w:r>
            <w:r>
              <w:rPr>
                <w:rFonts w:hint="eastAsia" w:ascii="宋体" w:hAnsi="宋体" w:eastAsia="宋体" w:cs="宋体"/>
                <w:b w:val="0"/>
                <w:bCs w:val="0"/>
                <w:color w:val="auto"/>
                <w:szCs w:val="21"/>
                <w:highlight w:val="none"/>
                <w14:ligatures w14:val="none"/>
              </w:rPr>
              <w:t>证书发布日期为准</w:t>
            </w:r>
            <w:r>
              <w:rPr>
                <w:rFonts w:hint="eastAsia" w:ascii="宋体" w:hAnsi="宋体" w:eastAsia="宋体" w:cs="宋体"/>
                <w:b w:val="0"/>
                <w:bCs w:val="0"/>
                <w:color w:val="auto"/>
                <w:szCs w:val="21"/>
                <w:highlight w:val="none"/>
                <w:lang w:eastAsia="zh-CN"/>
                <w14:ligatures w14:val="none"/>
              </w:rPr>
              <w:t>）</w:t>
            </w:r>
            <w:r>
              <w:rPr>
                <w:rFonts w:hint="eastAsia" w:ascii="宋体" w:hAnsi="宋体" w:eastAsia="宋体" w:cs="宋体"/>
                <w:i w:val="0"/>
                <w:iCs w:val="0"/>
                <w:color w:val="auto"/>
                <w:kern w:val="0"/>
                <w:sz w:val="21"/>
                <w:szCs w:val="21"/>
                <w:highlight w:val="none"/>
                <w:u w:val="none"/>
                <w:lang w:val="en-US" w:eastAsia="zh-CN" w:bidi="ar"/>
              </w:rPr>
              <w:t>拟派人员中获得</w:t>
            </w:r>
            <w:r>
              <w:rPr>
                <w:rFonts w:hint="eastAsia" w:ascii="宋体" w:hAnsi="宋体" w:eastAsia="宋体" w:cs="宋体"/>
                <w:color w:val="auto"/>
                <w:szCs w:val="21"/>
                <w:highlight w:val="none"/>
                <w14:ligatures w14:val="none"/>
              </w:rPr>
              <w:t>设区市市级</w:t>
            </w:r>
            <w:r>
              <w:rPr>
                <w:rFonts w:hint="eastAsia" w:ascii="宋体" w:hAnsi="宋体" w:eastAsia="宋体" w:cs="宋体"/>
                <w:color w:val="auto"/>
                <w:szCs w:val="21"/>
                <w:highlight w:val="none"/>
                <w:lang w:eastAsia="zh-CN"/>
                <w14:ligatures w14:val="none"/>
              </w:rPr>
              <w:t>（含</w:t>
            </w:r>
            <w:r>
              <w:rPr>
                <w:rFonts w:hint="eastAsia" w:ascii="宋体" w:hAnsi="宋体" w:eastAsia="宋体" w:cs="宋体"/>
                <w:color w:val="auto"/>
                <w:szCs w:val="21"/>
                <w:highlight w:val="none"/>
                <w14:ligatures w14:val="none"/>
              </w:rPr>
              <w:t>以上</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相关行政主管部门</w:t>
            </w:r>
            <w:r>
              <w:rPr>
                <w:rFonts w:hint="eastAsia" w:ascii="宋体" w:hAnsi="宋体" w:eastAsia="宋体" w:cs="宋体"/>
                <w:i w:val="0"/>
                <w:iCs w:val="0"/>
                <w:color w:val="auto"/>
                <w:kern w:val="0"/>
                <w:sz w:val="21"/>
                <w:szCs w:val="21"/>
                <w:highlight w:val="none"/>
                <w:u w:val="none"/>
                <w:lang w:val="en-US" w:eastAsia="zh-CN" w:bidi="ar"/>
              </w:rPr>
              <w:t>传媒类相关奖项</w:t>
            </w:r>
            <w:r>
              <w:rPr>
                <w:rFonts w:hint="eastAsia" w:ascii="宋体" w:hAnsi="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auto"/>
                <w:kern w:val="0"/>
                <w:sz w:val="21"/>
                <w:szCs w:val="21"/>
                <w:highlight w:val="none"/>
                <w:u w:val="none"/>
                <w:lang w:val="en-US" w:eastAsia="zh-CN" w:bidi="ar"/>
              </w:rPr>
              <w:t>荣誉的，每有1人得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color w:val="auto"/>
                <w:szCs w:val="21"/>
                <w:highlight w:val="none"/>
                <w:lang w:eastAsia="zh-CN"/>
                <w14:ligatures w14:val="none"/>
              </w:rPr>
              <w:t>本项最高得</w:t>
            </w:r>
            <w:r>
              <w:rPr>
                <w:rFonts w:hint="eastAsia" w:ascii="宋体" w:hAnsi="宋体" w:cs="宋体"/>
                <w:color w:val="auto"/>
                <w:szCs w:val="21"/>
                <w:highlight w:val="none"/>
                <w:lang w:val="en-US" w:eastAsia="zh-CN"/>
                <w14:ligatures w14:val="none"/>
              </w:rPr>
              <w:t>10</w:t>
            </w:r>
            <w:r>
              <w:rPr>
                <w:rFonts w:hint="eastAsia" w:ascii="宋体" w:hAnsi="宋体" w:eastAsia="宋体" w:cs="宋体"/>
                <w:color w:val="auto"/>
                <w:szCs w:val="21"/>
                <w:highlight w:val="none"/>
                <w:lang w:eastAsia="zh-CN"/>
                <w14:ligatures w14:val="none"/>
              </w:rPr>
              <w:t>分</w:t>
            </w:r>
            <w:r>
              <w:rPr>
                <w:rFonts w:hint="eastAsia" w:ascii="宋体" w:hAnsi="宋体" w:cs="宋体"/>
                <w:color w:val="auto"/>
                <w:szCs w:val="21"/>
                <w:highlight w:val="none"/>
                <w:lang w:eastAsia="zh-CN"/>
                <w14:ligatures w14:val="none"/>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(提供相关证明材料加盖投标人公章</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b/>
                <w:color w:val="auto"/>
                <w:szCs w:val="21"/>
                <w:highlight w:val="none"/>
              </w:rPr>
              <w:t>同时提供原件备查</w:t>
            </w:r>
            <w:r>
              <w:rPr>
                <w:rFonts w:hint="eastAsia" w:ascii="宋体" w:hAnsi="宋体"/>
                <w:b/>
                <w:color w:val="auto"/>
                <w:szCs w:val="21"/>
                <w:highlight w:val="none"/>
                <w:lang w:eastAsia="zh-CN"/>
              </w:rPr>
              <w:t>。</w:t>
            </w:r>
            <w:r>
              <w:rPr>
                <w:rFonts w:hint="eastAsia" w:ascii="宋体" w:hAnsi="宋体"/>
                <w:b/>
                <w:bCs/>
                <w:color w:val="auto"/>
                <w:highlight w:val="none"/>
                <w:lang w:val="en-US" w:eastAsia="zh-CN"/>
              </w:rPr>
              <w:t>拟派人员</w:t>
            </w:r>
            <w:r>
              <w:rPr>
                <w:rFonts w:hint="eastAsia" w:ascii="宋体" w:hAnsi="宋体" w:eastAsia="宋体" w:cs="宋体"/>
                <w:b/>
                <w:bCs w:val="0"/>
                <w:color w:val="auto"/>
                <w:szCs w:val="21"/>
                <w:highlight w:val="none"/>
              </w:rPr>
              <w:t>须</w:t>
            </w:r>
            <w:r>
              <w:rPr>
                <w:rFonts w:hint="eastAsia" w:ascii="宋体" w:hAnsi="宋体"/>
                <w:b/>
                <w:bCs/>
                <w:color w:val="auto"/>
                <w:highlight w:val="none"/>
                <w:lang w:val="en-US" w:eastAsia="zh-CN"/>
              </w:rPr>
              <w:t>提供2023年12月至2024年2月任意一个月的社保缴纳证明</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企业实力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分）</w:t>
            </w:r>
          </w:p>
        </w:tc>
        <w:tc>
          <w:tcPr>
            <w:tcW w:w="3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
              </w:numPr>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2021年1月1日以来</w:t>
            </w:r>
            <w:r>
              <w:rPr>
                <w:rFonts w:hint="eastAsia" w:ascii="宋体" w:hAnsi="宋体" w:cs="宋体"/>
                <w:b w:val="0"/>
                <w:bCs w:val="0"/>
                <w:color w:val="auto"/>
                <w:szCs w:val="21"/>
                <w:highlight w:val="none"/>
                <w:lang w:eastAsia="zh-CN"/>
                <w14:ligatures w14:val="none"/>
              </w:rPr>
              <w:t>（</w:t>
            </w:r>
            <w:r>
              <w:rPr>
                <w:rFonts w:hint="eastAsia" w:ascii="宋体" w:hAnsi="宋体" w:eastAsia="宋体" w:cs="宋体"/>
                <w:b w:val="0"/>
                <w:bCs w:val="0"/>
                <w:color w:val="auto"/>
                <w:szCs w:val="21"/>
                <w:highlight w:val="none"/>
              </w:rPr>
              <w:t>以合同签订时间为准</w:t>
            </w:r>
            <w:r>
              <w:rPr>
                <w:rFonts w:hint="eastAsia" w:ascii="宋体" w:hAnsi="宋体" w:cs="宋体"/>
                <w:b w:val="0"/>
                <w:bCs w:val="0"/>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投标单位承办过</w:t>
            </w:r>
            <w:r>
              <w:rPr>
                <w:rFonts w:hint="eastAsia" w:ascii="宋体" w:hAnsi="宋体" w:cs="宋体"/>
                <w:i w:val="0"/>
                <w:iCs w:val="0"/>
                <w:color w:val="auto"/>
                <w:kern w:val="0"/>
                <w:sz w:val="21"/>
                <w:szCs w:val="21"/>
                <w:highlight w:val="none"/>
                <w:u w:val="none"/>
                <w:lang w:val="en-US" w:eastAsia="zh-CN" w:bidi="ar"/>
              </w:rPr>
              <w:t>类似项目业绩</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（合同价20万元及以上的涉及媒体推广、渠道拓客、活动推广或营销物料制作类的项目业绩）</w:t>
            </w:r>
            <w:r>
              <w:rPr>
                <w:rFonts w:hint="eastAsia" w:ascii="宋体" w:hAnsi="宋体" w:eastAsia="宋体" w:cs="宋体"/>
                <w:i w:val="0"/>
                <w:iCs w:val="0"/>
                <w:color w:val="auto"/>
                <w:kern w:val="0"/>
                <w:sz w:val="21"/>
                <w:szCs w:val="21"/>
                <w:highlight w:val="none"/>
                <w:u w:val="none"/>
                <w:lang w:val="en-US" w:eastAsia="zh-CN" w:bidi="ar"/>
              </w:rPr>
              <w:t>，每有1项得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lang w:eastAsia="zh-CN"/>
                <w14:ligatures w14:val="none"/>
              </w:rPr>
              <w:t>本项</w:t>
            </w:r>
            <w:r>
              <w:rPr>
                <w:rFonts w:hint="eastAsia" w:ascii="宋体" w:hAnsi="宋体" w:cs="宋体"/>
                <w:i w:val="0"/>
                <w:iCs w:val="0"/>
                <w:color w:val="auto"/>
                <w:kern w:val="0"/>
                <w:sz w:val="21"/>
                <w:szCs w:val="21"/>
                <w:highlight w:val="none"/>
                <w:u w:val="none"/>
                <w:lang w:val="en-US" w:eastAsia="zh-CN" w:bidi="ar"/>
              </w:rPr>
              <w:t>最高得</w:t>
            </w:r>
            <w:r>
              <w:rPr>
                <w:rFonts w:hint="eastAsia" w:ascii="宋体" w:hAnsi="宋体" w:eastAsia="宋体" w:cs="宋体"/>
                <w:i w:val="0"/>
                <w:iCs w:val="0"/>
                <w:color w:val="auto"/>
                <w:kern w:val="0"/>
                <w:sz w:val="21"/>
                <w:szCs w:val="21"/>
                <w:highlight w:val="none"/>
                <w:u w:val="none"/>
                <w:lang w:val="en-US" w:eastAsia="zh-CN" w:bidi="ar"/>
              </w:rPr>
              <w:t>10分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2、2021年1月1日以来</w:t>
            </w:r>
            <w:r>
              <w:rPr>
                <w:rFonts w:hint="eastAsia" w:ascii="宋体" w:hAnsi="宋体" w:cs="宋体"/>
                <w:b w:val="0"/>
                <w:bCs w:val="0"/>
                <w:color w:val="auto"/>
                <w:szCs w:val="21"/>
                <w:highlight w:val="none"/>
                <w:lang w:eastAsia="zh-CN"/>
                <w14:ligatures w14:val="none"/>
              </w:rPr>
              <w:t>（</w:t>
            </w:r>
            <w:r>
              <w:rPr>
                <w:rFonts w:hint="eastAsia" w:ascii="宋体" w:hAnsi="宋体" w:eastAsia="宋体" w:cs="宋体"/>
                <w:b w:val="0"/>
                <w:bCs w:val="0"/>
                <w:color w:val="auto"/>
                <w:szCs w:val="21"/>
                <w:highlight w:val="none"/>
              </w:rPr>
              <w:t>以</w:t>
            </w:r>
            <w:r>
              <w:rPr>
                <w:rFonts w:hint="eastAsia" w:ascii="宋体" w:hAnsi="宋体" w:eastAsia="宋体" w:cs="宋体"/>
                <w:b w:val="0"/>
                <w:bCs w:val="0"/>
                <w:color w:val="auto"/>
                <w:szCs w:val="21"/>
                <w:highlight w:val="none"/>
                <w:lang w:val="en-US" w:eastAsia="zh-CN"/>
              </w:rPr>
              <w:t>发稿</w:t>
            </w:r>
            <w:r>
              <w:rPr>
                <w:rFonts w:hint="eastAsia" w:ascii="宋体" w:hAnsi="宋体" w:eastAsia="宋体" w:cs="宋体"/>
                <w:b w:val="0"/>
                <w:bCs w:val="0"/>
                <w:color w:val="auto"/>
                <w:szCs w:val="21"/>
                <w:highlight w:val="none"/>
              </w:rPr>
              <w:t>时间为准</w:t>
            </w:r>
            <w:r>
              <w:rPr>
                <w:rFonts w:hint="eastAsia" w:ascii="宋体" w:hAnsi="宋体" w:cs="宋体"/>
                <w:b w:val="0"/>
                <w:bCs w:val="0"/>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投标单位在</w:t>
            </w:r>
            <w:r>
              <w:rPr>
                <w:rFonts w:hint="eastAsia" w:ascii="宋体" w:hAnsi="宋体" w:eastAsia="宋体" w:cs="宋体"/>
                <w:color w:val="auto"/>
                <w:szCs w:val="21"/>
                <w:highlight w:val="none"/>
                <w14:ligatures w14:val="none"/>
              </w:rPr>
              <w:t>设区市市级</w:t>
            </w:r>
            <w:r>
              <w:rPr>
                <w:rFonts w:hint="eastAsia" w:ascii="宋体" w:hAnsi="宋体" w:cs="宋体"/>
                <w:color w:val="auto"/>
                <w:szCs w:val="21"/>
                <w:highlight w:val="none"/>
                <w:lang w:val="en-US" w:eastAsia="zh-CN"/>
                <w14:ligatures w14:val="none"/>
              </w:rPr>
              <w:t>及以上官方</w:t>
            </w:r>
            <w:r>
              <w:rPr>
                <w:rFonts w:hint="eastAsia" w:ascii="宋体" w:hAnsi="宋体" w:eastAsia="宋体" w:cs="宋体"/>
                <w:i w:val="0"/>
                <w:iCs w:val="0"/>
                <w:color w:val="auto"/>
                <w:kern w:val="0"/>
                <w:sz w:val="21"/>
                <w:szCs w:val="21"/>
                <w:highlight w:val="none"/>
                <w:u w:val="none"/>
                <w:lang w:val="en-US" w:eastAsia="zh-CN" w:bidi="ar"/>
              </w:rPr>
              <w:t>媒体平台发送稿件的，每有1篇得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color w:val="auto"/>
                <w:szCs w:val="21"/>
                <w:highlight w:val="none"/>
                <w:lang w:eastAsia="zh-CN"/>
                <w14:ligatures w14:val="none"/>
              </w:rPr>
              <w:t>本项最高得</w:t>
            </w:r>
            <w:r>
              <w:rPr>
                <w:rFonts w:hint="eastAsia" w:ascii="宋体" w:hAnsi="宋体" w:cs="宋体"/>
                <w:color w:val="auto"/>
                <w:szCs w:val="21"/>
                <w:highlight w:val="none"/>
                <w:lang w:val="en-US" w:eastAsia="zh-CN"/>
                <w14:ligatures w14:val="none"/>
              </w:rPr>
              <w:t>6</w:t>
            </w:r>
            <w:r>
              <w:rPr>
                <w:rFonts w:hint="eastAsia" w:ascii="宋体" w:hAnsi="宋体" w:eastAsia="宋体" w:cs="宋体"/>
                <w:color w:val="auto"/>
                <w:szCs w:val="21"/>
                <w:highlight w:val="none"/>
                <w:lang w:eastAsia="zh-CN"/>
                <w14:ligatures w14:val="none"/>
              </w:rPr>
              <w:t>分</w:t>
            </w:r>
            <w:r>
              <w:rPr>
                <w:rFonts w:hint="eastAsia" w:ascii="宋体" w:hAnsi="宋体" w:cs="宋体"/>
                <w:color w:val="auto"/>
                <w:szCs w:val="21"/>
                <w:highlight w:val="none"/>
                <w:lang w:eastAsia="zh-CN"/>
                <w14:ligatures w14:val="none"/>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3、2021年1月1日以来</w:t>
            </w:r>
            <w:r>
              <w:rPr>
                <w:rFonts w:hint="eastAsia" w:ascii="宋体" w:hAnsi="宋体" w:cs="宋体"/>
                <w:b w:val="0"/>
                <w:bCs w:val="0"/>
                <w:color w:val="auto"/>
                <w:kern w:val="0"/>
                <w:highlight w:val="none"/>
                <w:lang w:eastAsia="zh-CN"/>
              </w:rPr>
              <w:t>（</w:t>
            </w:r>
            <w:r>
              <w:rPr>
                <w:rFonts w:hint="eastAsia" w:ascii="宋体" w:hAnsi="宋体" w:eastAsia="宋体" w:cs="宋体"/>
                <w:b w:val="0"/>
                <w:bCs w:val="0"/>
                <w:color w:val="auto"/>
                <w:szCs w:val="21"/>
                <w:highlight w:val="none"/>
                <w:lang w:eastAsia="zh-CN"/>
                <w14:ligatures w14:val="none"/>
              </w:rPr>
              <w:t>以</w:t>
            </w:r>
            <w:r>
              <w:rPr>
                <w:rFonts w:hint="eastAsia" w:ascii="宋体" w:hAnsi="宋体" w:eastAsia="宋体" w:cs="宋体"/>
                <w:b w:val="0"/>
                <w:bCs w:val="0"/>
                <w:color w:val="auto"/>
                <w:szCs w:val="21"/>
                <w:highlight w:val="none"/>
                <w14:ligatures w14:val="none"/>
              </w:rPr>
              <w:t>表彰文件</w:t>
            </w:r>
            <w:r>
              <w:rPr>
                <w:rFonts w:hint="eastAsia" w:ascii="宋体" w:hAnsi="宋体" w:eastAsia="宋体" w:cs="宋体"/>
                <w:b w:val="0"/>
                <w:bCs w:val="0"/>
                <w:color w:val="auto"/>
                <w:szCs w:val="21"/>
                <w:highlight w:val="none"/>
                <w:lang w:val="en-US" w:eastAsia="zh-CN"/>
                <w14:ligatures w14:val="none"/>
              </w:rPr>
              <w:t>或</w:t>
            </w:r>
            <w:r>
              <w:rPr>
                <w:rFonts w:hint="eastAsia" w:ascii="宋体" w:hAnsi="宋体" w:eastAsia="宋体" w:cs="宋体"/>
                <w:b w:val="0"/>
                <w:bCs w:val="0"/>
                <w:color w:val="auto"/>
                <w:szCs w:val="21"/>
                <w:highlight w:val="none"/>
                <w14:ligatures w14:val="none"/>
              </w:rPr>
              <w:t>证书发布日期为准</w:t>
            </w:r>
            <w:r>
              <w:rPr>
                <w:rFonts w:hint="eastAsia" w:ascii="宋体" w:hAnsi="宋体" w:eastAsia="宋体" w:cs="宋体"/>
                <w:b w:val="0"/>
                <w:bCs w:val="0"/>
                <w:color w:val="auto"/>
                <w:szCs w:val="21"/>
                <w:highlight w:val="none"/>
                <w:lang w:eastAsia="zh-CN"/>
                <w14:ligatures w14:val="none"/>
              </w:rPr>
              <w:t>）</w:t>
            </w:r>
            <w:r>
              <w:rPr>
                <w:rFonts w:hint="eastAsia" w:ascii="宋体" w:hAnsi="宋体" w:eastAsia="宋体" w:cs="宋体"/>
                <w:i w:val="0"/>
                <w:iCs w:val="0"/>
                <w:color w:val="auto"/>
                <w:kern w:val="0"/>
                <w:sz w:val="21"/>
                <w:szCs w:val="21"/>
                <w:highlight w:val="none"/>
                <w:u w:val="none"/>
                <w:lang w:val="en-US" w:eastAsia="zh-CN" w:bidi="ar"/>
              </w:rPr>
              <w:t>投标单位获得</w:t>
            </w:r>
            <w:r>
              <w:rPr>
                <w:rFonts w:hint="eastAsia" w:ascii="宋体" w:hAnsi="宋体" w:eastAsia="宋体" w:cs="宋体"/>
                <w:color w:val="auto"/>
                <w:szCs w:val="21"/>
                <w:highlight w:val="none"/>
                <w14:ligatures w14:val="none"/>
              </w:rPr>
              <w:t>设区市市级</w:t>
            </w:r>
            <w:r>
              <w:rPr>
                <w:rFonts w:hint="eastAsia" w:ascii="宋体" w:hAnsi="宋体" w:eastAsia="宋体" w:cs="宋体"/>
                <w:color w:val="auto"/>
                <w:szCs w:val="21"/>
                <w:highlight w:val="none"/>
                <w:lang w:eastAsia="zh-CN"/>
                <w14:ligatures w14:val="none"/>
              </w:rPr>
              <w:t>（含</w:t>
            </w:r>
            <w:r>
              <w:rPr>
                <w:rFonts w:hint="eastAsia" w:ascii="宋体" w:hAnsi="宋体" w:eastAsia="宋体" w:cs="宋体"/>
                <w:color w:val="auto"/>
                <w:szCs w:val="21"/>
                <w:highlight w:val="none"/>
                <w14:ligatures w14:val="none"/>
              </w:rPr>
              <w:t>以上</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相关行政主管部门</w:t>
            </w:r>
            <w:r>
              <w:rPr>
                <w:rFonts w:hint="eastAsia" w:ascii="宋体" w:hAnsi="宋体" w:eastAsia="宋体" w:cs="宋体"/>
                <w:i w:val="0"/>
                <w:iCs w:val="0"/>
                <w:color w:val="auto"/>
                <w:kern w:val="0"/>
                <w:sz w:val="21"/>
                <w:szCs w:val="21"/>
                <w:highlight w:val="none"/>
                <w:u w:val="none"/>
                <w:lang w:val="en-US" w:eastAsia="zh-CN" w:bidi="ar"/>
              </w:rPr>
              <w:t>传媒类相关奖项和荣誉的，</w:t>
            </w:r>
            <w:r>
              <w:rPr>
                <w:rFonts w:hint="eastAsia" w:ascii="宋体" w:hAnsi="宋体" w:cs="宋体"/>
                <w:i w:val="0"/>
                <w:iCs w:val="0"/>
                <w:color w:val="auto"/>
                <w:kern w:val="0"/>
                <w:sz w:val="21"/>
                <w:szCs w:val="21"/>
                <w:highlight w:val="none"/>
                <w:u w:val="none"/>
                <w:lang w:val="en-US" w:eastAsia="zh-CN" w:bidi="ar"/>
              </w:rPr>
              <w:t>有1次得2分，</w:t>
            </w:r>
            <w:r>
              <w:rPr>
                <w:rFonts w:hint="eastAsia" w:ascii="宋体" w:hAnsi="宋体" w:eastAsia="宋体" w:cs="宋体"/>
                <w:color w:val="auto"/>
                <w:szCs w:val="21"/>
                <w:highlight w:val="none"/>
                <w:lang w:eastAsia="zh-CN"/>
                <w14:ligatures w14:val="none"/>
              </w:rPr>
              <w:t>本项最高得</w:t>
            </w:r>
            <w:r>
              <w:rPr>
                <w:rFonts w:hint="eastAsia" w:ascii="宋体" w:hAnsi="宋体" w:cs="宋体"/>
                <w:color w:val="auto"/>
                <w:szCs w:val="21"/>
                <w:highlight w:val="none"/>
                <w:lang w:val="en-US" w:eastAsia="zh-CN"/>
                <w14:ligatures w14:val="none"/>
              </w:rPr>
              <w:t>4</w:t>
            </w:r>
            <w:r>
              <w:rPr>
                <w:rFonts w:hint="eastAsia" w:ascii="宋体" w:hAnsi="宋体" w:eastAsia="宋体" w:cs="宋体"/>
                <w:color w:val="auto"/>
                <w:szCs w:val="21"/>
                <w:highlight w:val="none"/>
                <w:lang w:eastAsia="zh-CN"/>
                <w14:ligatures w14:val="none"/>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 xml:space="preserve"> (提供相关证明材料加盖投标人公章</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b/>
                <w:color w:val="auto"/>
                <w:szCs w:val="21"/>
                <w:highlight w:val="none"/>
              </w:rPr>
              <w:t>同时提供原件备查</w:t>
            </w:r>
            <w:r>
              <w:rPr>
                <w:rFonts w:hint="eastAsia" w:ascii="宋体" w:hAnsi="宋体" w:eastAsia="宋体" w:cs="宋体"/>
                <w:b/>
                <w:bCs/>
                <w:i w:val="0"/>
                <w:iCs w:val="0"/>
                <w:color w:val="auto"/>
                <w:kern w:val="0"/>
                <w:sz w:val="21"/>
                <w:szCs w:val="21"/>
                <w:highlight w:val="none"/>
                <w:u w:val="none"/>
                <w:lang w:val="en-US" w:eastAsia="zh-CN" w:bidi="ar"/>
              </w:rPr>
              <w:t>)</w:t>
            </w:r>
          </w:p>
        </w:tc>
      </w:tr>
    </w:tbl>
    <w:p>
      <w:pPr>
        <w:pStyle w:val="145"/>
        <w:wordWrap w:val="0"/>
        <w:adjustRightInd w:val="0"/>
        <w:snapToGrid w:val="0"/>
        <w:spacing w:line="360" w:lineRule="auto"/>
        <w:ind w:firstLine="0" w:firstLineChars="0"/>
        <w:jc w:val="left"/>
        <w:rPr>
          <w:rFonts w:hint="eastAsia" w:hAnsi="宋体" w:eastAsia="宋体" w:cs="宋体"/>
          <w:color w:val="auto"/>
          <w:szCs w:val="21"/>
          <w:highlight w:val="none"/>
        </w:rPr>
      </w:pPr>
      <w:r>
        <w:rPr>
          <w:rFonts w:hint="eastAsia" w:hAnsi="宋体" w:eastAsia="宋体" w:cs="宋体"/>
          <w:color w:val="auto"/>
          <w:szCs w:val="21"/>
          <w:highlight w:val="none"/>
        </w:rPr>
        <w:t>注：</w:t>
      </w:r>
    </w:p>
    <w:p>
      <w:pPr>
        <w:adjustRightInd w:val="0"/>
        <w:snapToGrid w:val="0"/>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1、评分标准中要求提供原件备查的，必须提供相关原件，否则与之对应项不得分。</w:t>
      </w:r>
    </w:p>
    <w:p>
      <w:pPr>
        <w:adjustRightInd w:val="0"/>
        <w:snapToGrid w:val="0"/>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、响应文件的正本和副本中均需提供相关原件的复印件加盖供应商公章。</w:t>
      </w:r>
    </w:p>
    <w:p>
      <w:pPr>
        <w:adjustRightInd w:val="0"/>
        <w:snapToGrid w:val="0"/>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、若发现有提供虚假的证明材料，视为无效响应，追究相关责任。</w:t>
      </w:r>
    </w:p>
    <w:p>
      <w:pPr>
        <w:pStyle w:val="160"/>
        <w:spacing w:before="0" w:after="0"/>
        <w:ind w:firstLine="0"/>
        <w:rPr>
          <w:rFonts w:hint="eastAsia" w:ascii="宋体" w:hAnsi="宋体" w:eastAsia="宋体" w:cs="宋体"/>
          <w:b/>
          <w:color w:val="auto"/>
          <w:kern w:val="2"/>
          <w:sz w:val="21"/>
          <w:szCs w:val="21"/>
          <w:highlight w:val="none"/>
        </w:rPr>
      </w:pPr>
    </w:p>
    <w:p>
      <w:pPr>
        <w:widowControl/>
        <w:jc w:val="left"/>
        <w:rPr>
          <w:rFonts w:hint="eastAsia" w:ascii="宋体" w:hAnsi="宋体" w:eastAsia="宋体" w:cs="宋体"/>
          <w:b/>
          <w:bCs/>
          <w:color w:val="auto"/>
          <w:kern w:val="44"/>
          <w:sz w:val="36"/>
          <w:szCs w:val="44"/>
          <w:highlight w:val="none"/>
        </w:rPr>
      </w:pPr>
      <w:bookmarkStart w:id="127" w:name="_Toc497133123"/>
      <w:bookmarkStart w:id="128" w:name="_Toc18798"/>
      <w:r>
        <w:rPr>
          <w:rFonts w:hint="eastAsia" w:ascii="宋体" w:hAnsi="宋体" w:eastAsia="宋体" w:cs="宋体"/>
          <w:color w:val="auto"/>
          <w:sz w:val="36"/>
          <w:highlight w:val="none"/>
        </w:rPr>
        <w:br w:type="page"/>
      </w:r>
    </w:p>
    <w:p>
      <w:pPr>
        <w:pStyle w:val="10"/>
        <w:spacing w:after="340" w:line="480" w:lineRule="auto"/>
        <w:jc w:val="center"/>
        <w:rPr>
          <w:rFonts w:hint="eastAsia" w:ascii="宋体" w:hAnsi="宋体" w:eastAsia="宋体" w:cs="宋体"/>
          <w:color w:val="auto"/>
          <w:sz w:val="36"/>
          <w:highlight w:val="none"/>
        </w:rPr>
      </w:pPr>
      <w:bookmarkStart w:id="129" w:name="_Toc28651"/>
      <w:r>
        <w:rPr>
          <w:rFonts w:hint="eastAsia" w:ascii="宋体" w:hAnsi="宋体" w:eastAsia="宋体" w:cs="宋体"/>
          <w:color w:val="auto"/>
          <w:sz w:val="36"/>
          <w:highlight w:val="none"/>
        </w:rPr>
        <w:t>第六章 投标文件格式</w:t>
      </w:r>
      <w:bookmarkEnd w:id="127"/>
      <w:bookmarkEnd w:id="128"/>
      <w:bookmarkEnd w:id="129"/>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Cs w:val="21"/>
          <w:highlight w:val="none"/>
        </w:rPr>
      </w:pPr>
    </w:p>
    <w:p>
      <w:pPr>
        <w:jc w:val="center"/>
        <w:rPr>
          <w:rFonts w:hint="eastAsia" w:ascii="宋体" w:hAnsi="宋体" w:eastAsia="宋体" w:cs="宋体"/>
          <w:b/>
          <w:color w:val="auto"/>
          <w:sz w:val="22"/>
          <w:szCs w:val="21"/>
          <w:highlight w:val="none"/>
        </w:rPr>
      </w:pPr>
    </w:p>
    <w:p>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jc w:val="center"/>
        <w:rPr>
          <w:rFonts w:hint="eastAsia" w:ascii="宋体" w:hAnsi="宋体" w:eastAsia="宋体" w:cs="宋体"/>
          <w:b/>
          <w:color w:val="auto"/>
          <w:sz w:val="72"/>
          <w:highlight w:val="none"/>
        </w:rPr>
      </w:pPr>
    </w:p>
    <w:p>
      <w:pPr>
        <w:jc w:val="center"/>
        <w:rPr>
          <w:rFonts w:hint="eastAsia" w:ascii="宋体" w:hAnsi="宋体" w:eastAsia="宋体" w:cs="宋体"/>
          <w:b/>
          <w:color w:val="auto"/>
          <w:sz w:val="72"/>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ind w:left="2166" w:leftChars="171" w:hanging="1807" w:hangingChars="500"/>
        <w:rPr>
          <w:rFonts w:hint="eastAsia" w:ascii="宋体" w:hAnsi="宋体" w:eastAsia="宋体" w:cs="宋体"/>
          <w:color w:val="auto"/>
          <w:sz w:val="32"/>
          <w:szCs w:val="32"/>
          <w:highlight w:val="none"/>
        </w:rPr>
      </w:pPr>
      <w:r>
        <w:rPr>
          <w:rFonts w:hint="eastAsia" w:ascii="宋体" w:hAnsi="宋体" w:eastAsia="宋体" w:cs="宋体"/>
          <w:b/>
          <w:color w:val="auto"/>
          <w:sz w:val="36"/>
          <w:highlight w:val="none"/>
        </w:rPr>
        <w:t>项目名称：</w:t>
      </w:r>
      <w:r>
        <w:rPr>
          <w:rFonts w:hint="eastAsia" w:ascii="宋体" w:hAnsi="宋体" w:eastAsia="宋体" w:cs="宋体"/>
          <w:color w:val="auto"/>
          <w:sz w:val="32"/>
          <w:szCs w:val="32"/>
          <w:highlight w:val="none"/>
        </w:rPr>
        <w:t>GZ4</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8地块项目渠道推广服务</w:t>
      </w:r>
    </w:p>
    <w:p>
      <w:pPr>
        <w:ind w:firstLine="361" w:firstLineChars="100"/>
        <w:rPr>
          <w:rFonts w:hint="eastAsia" w:ascii="宋体" w:hAnsi="宋体" w:eastAsia="宋体" w:cs="宋体"/>
          <w:b/>
          <w:color w:val="auto"/>
          <w:sz w:val="32"/>
          <w:szCs w:val="32"/>
          <w:highlight w:val="none"/>
          <w:u w:val="single"/>
        </w:rPr>
      </w:pPr>
      <w:r>
        <w:rPr>
          <w:rFonts w:hint="eastAsia" w:ascii="宋体" w:hAnsi="宋体" w:eastAsia="宋体" w:cs="宋体"/>
          <w:b/>
          <w:color w:val="auto"/>
          <w:sz w:val="36"/>
          <w:highlight w:val="none"/>
        </w:rPr>
        <w:t>编       号：</w:t>
      </w:r>
    </w:p>
    <w:p>
      <w:pPr>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投标人名称 ：</w:t>
      </w: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      期 ：</w:t>
      </w:r>
    </w:p>
    <w:p>
      <w:pPr>
        <w:spacing w:line="440" w:lineRule="exact"/>
        <w:jc w:val="center"/>
        <w:rPr>
          <w:rFonts w:hint="eastAsia" w:ascii="宋体" w:hAnsi="宋体" w:eastAsia="宋体" w:cs="宋体"/>
          <w:b/>
          <w:bCs/>
          <w:color w:val="auto"/>
          <w:sz w:val="32"/>
          <w:szCs w:val="32"/>
          <w:highlight w:val="none"/>
        </w:rPr>
      </w:pP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p>
    <w:p>
      <w:pPr>
        <w:spacing w:before="312" w:beforeLines="100" w:after="312" w:afterLines="100"/>
        <w:jc w:val="center"/>
        <w:rPr>
          <w:rFonts w:hint="eastAsia" w:ascii="宋体" w:hAnsi="宋体" w:eastAsia="宋体" w:cs="宋体"/>
          <w:b/>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Cs w:val="21"/>
          <w:highlight w:val="none"/>
        </w:rPr>
        <w:t>评分索引表</w:t>
      </w:r>
    </w:p>
    <w:tbl>
      <w:tblPr>
        <w:tblStyle w:val="4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bCs/>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bCs/>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color w:val="auto"/>
                <w:kern w:val="2"/>
                <w:sz w:val="21"/>
                <w:szCs w:val="21"/>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color w:val="auto"/>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auto"/>
                <w:highlight w:val="none"/>
              </w:rPr>
            </w:pPr>
          </w:p>
        </w:tc>
      </w:tr>
    </w:tbl>
    <w:p>
      <w:pPr>
        <w:rPr>
          <w:rFonts w:hint="eastAsia" w:ascii="宋体" w:hAnsi="宋体" w:eastAsia="宋体" w:cs="宋体"/>
          <w:color w:val="auto"/>
          <w:highlight w:val="none"/>
        </w:rPr>
      </w:pPr>
    </w:p>
    <w:p>
      <w:pPr>
        <w:spacing w:after="312" w:afterLines="100"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 w:val="36"/>
          <w:highlight w:val="none"/>
          <w:u w:val="single"/>
        </w:rPr>
        <w:br w:type="page"/>
      </w:r>
      <w:r>
        <w:rPr>
          <w:rFonts w:hint="eastAsia" w:ascii="宋体" w:hAnsi="宋体" w:eastAsia="宋体" w:cs="宋体"/>
          <w:b/>
          <w:bCs/>
          <w:color w:val="auto"/>
          <w:szCs w:val="21"/>
          <w:highlight w:val="none"/>
        </w:rPr>
        <w:t>投标主要文件目录</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一、资格性和符合性检查响应对照表</w:t>
      </w:r>
    </w:p>
    <w:p>
      <w:pPr>
        <w:ind w:firstLine="420" w:firstLineChars="200"/>
        <w:rPr>
          <w:rFonts w:hint="eastAsia" w:ascii="宋体" w:hAnsi="宋体" w:eastAsia="宋体" w:cs="宋体"/>
          <w:color w:val="auto"/>
          <w:szCs w:val="21"/>
          <w:highlight w:val="none"/>
        </w:rPr>
      </w:pPr>
    </w:p>
    <w:p>
      <w:pPr>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资格证明文件</w:t>
      </w:r>
    </w:p>
    <w:p>
      <w:pPr>
        <w:ind w:firstLine="480" w:firstLineChars="200"/>
        <w:rPr>
          <w:rFonts w:hint="eastAsia" w:ascii="宋体" w:hAnsi="宋体" w:eastAsia="宋体" w:cs="宋体"/>
          <w:bCs/>
          <w:color w:val="auto"/>
          <w:sz w:val="24"/>
          <w:szCs w:val="24"/>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三、开标一览表</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四、分项报价表</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五、项目组人员配置</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六、技术参数响应及偏离表</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七、商务条款响应及偏离表</w:t>
      </w:r>
    </w:p>
    <w:p>
      <w:pPr>
        <w:ind w:firstLine="420" w:firstLineChars="200"/>
        <w:rPr>
          <w:rFonts w:hint="eastAsia" w:ascii="宋体" w:hAnsi="宋体" w:eastAsia="宋体" w:cs="宋体"/>
          <w:color w:val="auto"/>
          <w:szCs w:val="21"/>
          <w:highlight w:val="none"/>
        </w:rPr>
      </w:pPr>
    </w:p>
    <w:p>
      <w:pPr>
        <w:jc w:val="left"/>
        <w:rPr>
          <w:rFonts w:hint="eastAsia" w:ascii="宋体" w:hAnsi="宋体" w:eastAsia="宋体" w:cs="宋体"/>
          <w:b/>
          <w:color w:val="auto"/>
          <w:sz w:val="22"/>
          <w:szCs w:val="21"/>
          <w:highlight w:val="none"/>
        </w:rPr>
      </w:pPr>
    </w:p>
    <w:p>
      <w:pPr>
        <w:ind w:firstLine="632" w:firstLineChars="3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pStyle w:val="2"/>
        <w:ind w:firstLine="420"/>
        <w:rPr>
          <w:rFonts w:hint="eastAsia" w:ascii="宋体" w:hAnsi="宋体" w:eastAsia="宋体" w:cs="宋体"/>
          <w:color w:val="auto"/>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jc w:val="left"/>
        <w:rPr>
          <w:rFonts w:hint="eastAsia" w:ascii="宋体" w:hAnsi="宋体" w:eastAsia="宋体" w:cs="宋体"/>
          <w:b/>
          <w:color w:val="auto"/>
          <w:szCs w:val="21"/>
          <w:highlight w:val="none"/>
        </w:rPr>
      </w:pPr>
    </w:p>
    <w:p>
      <w:pPr>
        <w:spacing w:after="312"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一、资格性和符合性检查响应对照表</w:t>
      </w:r>
    </w:p>
    <w:p>
      <w:pPr>
        <w:spacing w:after="312" w:afterLines="100" w:line="360" w:lineRule="auto"/>
        <w:ind w:right="210" w:rightChars="100" w:firstLine="306"/>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5"/>
        <w:gridCol w:w="1883"/>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是否响应</w:t>
            </w:r>
          </w:p>
          <w:p>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w:t>
            </w:r>
          </w:p>
          <w:p>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highlight w:val="none"/>
              </w:rPr>
            </w:pPr>
          </w:p>
        </w:tc>
      </w:tr>
    </w:tbl>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kern w:val="0"/>
          <w:sz w:val="22"/>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before="50" w:after="50"/>
        <w:rPr>
          <w:rFonts w:hint="eastAsia" w:ascii="宋体" w:hAnsi="宋体" w:eastAsia="宋体" w:cs="宋体"/>
          <w:color w:val="auto"/>
          <w:szCs w:val="21"/>
          <w:highlight w:val="none"/>
        </w:rPr>
      </w:pPr>
    </w:p>
    <w:p>
      <w:pPr>
        <w:spacing w:after="240" w:line="360" w:lineRule="auto"/>
        <w:ind w:left="336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二、资格证明文件要求</w:t>
      </w:r>
    </w:p>
    <w:p>
      <w:pPr>
        <w:snapToGrid w:val="0"/>
        <w:spacing w:before="50" w:after="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1、符合政府采购法律法规规定的条件目录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kern w:val="0"/>
          <w:szCs w:val="21"/>
          <w:highlight w:val="none"/>
        </w:rPr>
        <w:t>满足以下规定，并提供下列材料</w:t>
      </w:r>
      <w:r>
        <w:rPr>
          <w:rFonts w:hint="eastAsia" w:ascii="宋体" w:hAnsi="宋体" w:cs="宋体"/>
          <w:color w:val="auto"/>
          <w:kern w:val="0"/>
          <w:szCs w:val="21"/>
          <w:highlight w:val="none"/>
          <w:lang w:eastAsia="zh-CN"/>
        </w:rPr>
        <w:t>：</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1.1 投标函(原件)</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1.2 资格声明(原件)</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1.4 营业执照副本(复印件加盖投标人公章)</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1.5依法缴纳职工社会保障资金的证明材料(复印件加盖投标人公章)(税务、银行或社会保险基金管理部门出具的近三个月内任意一月</w:t>
      </w:r>
      <w:r>
        <w:rPr>
          <w:rFonts w:hint="eastAsia" w:ascii="宋体" w:hAnsi="宋体" w:eastAsia="宋体" w:cs="宋体"/>
          <w:i/>
          <w:iCs/>
          <w:color w:val="auto"/>
          <w:szCs w:val="21"/>
          <w:highlight w:val="none"/>
          <w:u w:val="single"/>
          <w:lang w:eastAsia="zh-CN"/>
        </w:rPr>
        <w:t>（</w:t>
      </w:r>
      <w:r>
        <w:rPr>
          <w:rFonts w:hint="eastAsia" w:ascii="宋体" w:hAnsi="宋体" w:cs="宋体"/>
          <w:i/>
          <w:iCs/>
          <w:color w:val="auto"/>
          <w:szCs w:val="21"/>
          <w:highlight w:val="none"/>
          <w:u w:val="single"/>
          <w:lang w:eastAsia="zh-CN"/>
        </w:rPr>
        <w:t>2023年12月-2024年2月</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缴纳职工社会保障资金的缴款凭证或缴款证明)</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1.6供应商近三个月内任意一个月</w:t>
      </w:r>
      <w:r>
        <w:rPr>
          <w:rFonts w:hint="eastAsia" w:ascii="宋体" w:hAnsi="宋体" w:eastAsia="宋体" w:cs="宋体"/>
          <w:i/>
          <w:iCs/>
          <w:color w:val="auto"/>
          <w:szCs w:val="21"/>
          <w:highlight w:val="none"/>
          <w:u w:val="single"/>
          <w:lang w:eastAsia="zh-CN"/>
        </w:rPr>
        <w:t>（</w:t>
      </w:r>
      <w:r>
        <w:rPr>
          <w:rFonts w:hint="eastAsia" w:ascii="宋体" w:hAnsi="宋体" w:cs="宋体"/>
          <w:i/>
          <w:iCs/>
          <w:color w:val="auto"/>
          <w:szCs w:val="21"/>
          <w:highlight w:val="none"/>
          <w:u w:val="single"/>
          <w:lang w:eastAsia="zh-CN"/>
        </w:rPr>
        <w:t>2023年12月-2024年2月</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依法纳税的缴款凭证(复印件加盖投标人公章)</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1.7与第（6）条相对应的纳税申报表或经会计师事务所审计的</w:t>
      </w:r>
      <w:r>
        <w:rPr>
          <w:rFonts w:hint="eastAsia" w:ascii="宋体" w:hAnsi="宋体" w:cs="宋体"/>
          <w:i/>
          <w:iCs/>
          <w:color w:val="auto"/>
          <w:szCs w:val="21"/>
          <w:highlight w:val="none"/>
          <w:u w:val="single"/>
          <w:lang w:eastAsia="zh-CN"/>
        </w:rPr>
        <w:t>2022年度或2023年度</w:t>
      </w:r>
      <w:r>
        <w:rPr>
          <w:rFonts w:hint="eastAsia" w:ascii="宋体" w:hAnsi="宋体" w:eastAsia="宋体" w:cs="宋体"/>
          <w:i/>
          <w:iCs/>
          <w:color w:val="auto"/>
          <w:szCs w:val="21"/>
          <w:highlight w:val="none"/>
          <w:u w:val="single"/>
        </w:rPr>
        <w:t>财务报告(复印件加盖供应商公章)</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1.8 供应商参加本次政府采购活动前3年内在经营活动中没有重大违法记录的书面声明（原件）</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1.9供应商信用承诺书（原件）</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1.10供应商未被“信用中国”网站（www.creditchina.gov.cn）、“中国政府采购网” (www.ccgp.gov.cn)列入失信被执行人、重大税收违法案件当事人名单、政府采购严重违法失信行为。</w:t>
      </w:r>
    </w:p>
    <w:p>
      <w:pPr>
        <w:spacing w:line="360" w:lineRule="auto"/>
        <w:ind w:firstLine="420" w:firstLineChars="200"/>
        <w:rPr>
          <w:rFonts w:hint="eastAsia" w:ascii="宋体" w:hAnsi="宋体" w:eastAsia="宋体" w:cs="宋体"/>
          <w:i/>
          <w:iCs/>
          <w:color w:val="auto"/>
          <w:szCs w:val="21"/>
          <w:highlight w:val="none"/>
          <w:u w:val="single"/>
        </w:rPr>
      </w:pPr>
      <w:r>
        <w:rPr>
          <w:rFonts w:hint="eastAsia" w:ascii="宋体" w:hAnsi="宋体" w:eastAsia="宋体" w:cs="宋体"/>
          <w:color w:val="auto"/>
          <w:szCs w:val="21"/>
          <w:highlight w:val="none"/>
        </w:rPr>
        <w:t>2、落实政府采购政策需满足的资格要求：/</w:t>
      </w:r>
    </w:p>
    <w:p>
      <w:pP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3、本项目的特定资格要求：</w:t>
      </w:r>
      <w:r>
        <w:rPr>
          <w:rFonts w:hint="eastAsia" w:ascii="宋体" w:hAnsi="宋体" w:cs="宋体"/>
          <w:i/>
          <w:color w:val="auto"/>
          <w:kern w:val="0"/>
          <w:szCs w:val="21"/>
          <w:highlight w:val="none"/>
          <w:u w:val="single"/>
          <w:lang w:val="en-US" w:eastAsia="zh-CN"/>
        </w:rPr>
        <w:t>/</w:t>
      </w:r>
    </w:p>
    <w:p>
      <w:pPr>
        <w:spacing w:line="360" w:lineRule="auto"/>
        <w:ind w:right="312"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备注：投标文件的正本和副本中均须提供上述资信证明文件。资信证明文件须清晰可辨，若有缺失或不清晰，将导致投标被拒绝且不允许在开标后补正。</w:t>
      </w:r>
    </w:p>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jc w:val="center"/>
        <w:rPr>
          <w:rFonts w:hint="eastAsia" w:ascii="宋体" w:hAnsi="宋体" w:eastAsia="宋体" w:cs="宋体"/>
          <w:b/>
          <w:bCs/>
          <w:color w:val="auto"/>
          <w:szCs w:val="21"/>
          <w:highlight w:val="none"/>
        </w:rPr>
      </w:pPr>
    </w:p>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投标函格式</w:t>
      </w:r>
    </w:p>
    <w:p>
      <w:pPr>
        <w:pStyle w:val="160"/>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致：</w:t>
      </w:r>
      <w:r>
        <w:rPr>
          <w:rFonts w:hint="eastAsia" w:ascii="宋体" w:hAnsi="宋体" w:eastAsia="宋体" w:cs="宋体"/>
          <w:color w:val="auto"/>
          <w:kern w:val="2"/>
          <w:sz w:val="21"/>
          <w:szCs w:val="21"/>
          <w:highlight w:val="none"/>
          <w:lang w:eastAsia="zh-CN"/>
        </w:rPr>
        <w:t>江苏志诚工程咨询管理有限公司</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根据贵方的</w:t>
      </w:r>
      <w:r>
        <w:rPr>
          <w:rFonts w:hint="eastAsia" w:ascii="宋体" w:hAnsi="宋体" w:cs="宋体"/>
          <w:color w:val="auto"/>
          <w:sz w:val="21"/>
          <w:szCs w:val="21"/>
          <w:highlight w:val="none"/>
          <w:lang w:eastAsia="zh-CN"/>
        </w:rPr>
        <w:t>JSZCZC2024012</w:t>
      </w:r>
      <w:r>
        <w:rPr>
          <w:rFonts w:hint="eastAsia" w:ascii="宋体" w:hAnsi="宋体" w:eastAsia="宋体" w:cs="宋体"/>
          <w:color w:val="auto"/>
          <w:sz w:val="21"/>
          <w:szCs w:val="21"/>
          <w:highlight w:val="none"/>
        </w:rPr>
        <w:t>号</w:t>
      </w:r>
      <w:r>
        <w:rPr>
          <w:rFonts w:hint="eastAsia" w:ascii="宋体" w:hAnsi="宋体" w:eastAsia="宋体" w:cs="宋体"/>
          <w:color w:val="auto"/>
          <w:kern w:val="2"/>
          <w:sz w:val="21"/>
          <w:szCs w:val="21"/>
          <w:highlight w:val="none"/>
        </w:rPr>
        <w:t>招标文件，正式授权下述签字___________(姓名)代表我方______________（投标人的名称），全权处理本次项目投标的有关事宜。</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据此函，__________签字人兹宣布同意如下：</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1.按招标文件规定的各项要求，向买方提供所需货物与服务。</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2.我们完全理解贵方不一定将合同授予最低报价的投标人。</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3.我们已详细审核全部招标文件及其有效补充文件，我们知道必须放弃提出含糊不清或误解问题的权利。</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4.我们同意从规定的开标日期起遵循本投标文件，并在规定的投标有效期期满之前均具有约束力。</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5.同意向贵方提供贵方可能另外要求的与投标有关的任何证据或资料，并保证我方已提供和将要提供的文件是真实的、准确的。</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6.一旦我方中标,我方将根据招标文件的规定，严格履行合同的责任和义务,并保证在招标文件规定的时间完成项目，交付买方验收、使用。</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7.与本投标有关的正式通讯地址为：</w:t>
      </w:r>
    </w:p>
    <w:p>
      <w:pPr>
        <w:pStyle w:val="160"/>
        <w:spacing w:before="0" w:after="0"/>
        <w:ind w:firstLine="420" w:firstLineChars="200"/>
        <w:rPr>
          <w:rFonts w:hint="eastAsia" w:ascii="宋体" w:hAnsi="宋体" w:eastAsia="宋体" w:cs="宋体"/>
          <w:color w:val="auto"/>
          <w:kern w:val="2"/>
          <w:sz w:val="21"/>
          <w:szCs w:val="21"/>
          <w:highlight w:val="none"/>
        </w:rPr>
      </w:pP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 编：</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电 话： </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传 真： </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投标人开户行：</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账 户： </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行 号：</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法定代表人或授权代表（签字）： </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投标人名称（公章）： </w:t>
      </w:r>
    </w:p>
    <w:p>
      <w:pPr>
        <w:pStyle w:val="16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期：________年____月____日</w:t>
      </w:r>
    </w:p>
    <w:p>
      <w:pPr>
        <w:spacing w:line="360" w:lineRule="auto"/>
        <w:ind w:firstLine="422" w:firstLineChars="200"/>
        <w:jc w:val="center"/>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jc w:val="center"/>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资 格 声 明</w:t>
      </w:r>
    </w:p>
    <w:p>
      <w:pPr>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1、名称及其它情况：</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（1）投标人名称：</w:t>
      </w:r>
    </w:p>
    <w:p>
      <w:pPr>
        <w:tabs>
          <w:tab w:val="left" w:pos="4530"/>
        </w:tabs>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p>
    <w:p>
      <w:pPr>
        <w:tabs>
          <w:tab w:val="left" w:pos="600"/>
          <w:tab w:val="left" w:pos="43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传真：</w:t>
      </w:r>
    </w:p>
    <w:p>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（3）成立和/或注册日期：</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w:t>
      </w:r>
    </w:p>
    <w:p>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（6）近期资产负债表：（到</w:t>
      </w:r>
      <w:r>
        <w:rPr>
          <w:rFonts w:hint="eastAsia" w:ascii="宋体" w:hAnsi="宋体" w:eastAsia="宋体" w:cs="宋体"/>
          <w:color w:val="auto"/>
          <w:szCs w:val="21"/>
          <w:highlight w:val="none"/>
          <w:u w:val="single"/>
        </w:rPr>
        <w:t>20  年12月31日</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&lt;1&gt; 固定资产：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&lt;2&gt; 流动资金：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&lt;3&gt; 长期负债：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&lt;4&gt; 短期负债：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2、近三年同类投标货物和服务的主要销售业绩（无有效联系人、联系方式和合同复印件的视为未填报本项目）：</w:t>
      </w:r>
    </w:p>
    <w:tbl>
      <w:tblPr>
        <w:tblStyle w:val="41"/>
        <w:tblW w:w="8522" w:type="dxa"/>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甲方名称、联系人、联系方式</w:t>
            </w:r>
          </w:p>
        </w:tc>
        <w:tc>
          <w:tcPr>
            <w:tcW w:w="4251" w:type="dxa"/>
            <w:vAlign w:val="top"/>
          </w:tcPr>
          <w:p>
            <w:pPr>
              <w:adjustRightInd w:val="0"/>
              <w:snapToGrid w:val="0"/>
              <w:spacing w:after="200"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   目   名   称</w:t>
            </w: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color w:val="auto"/>
                <w:highlight w:val="none"/>
              </w:rPr>
            </w:pPr>
          </w:p>
        </w:tc>
        <w:tc>
          <w:tcPr>
            <w:tcW w:w="4251" w:type="dxa"/>
            <w:vAlign w:val="top"/>
          </w:tcPr>
          <w:p>
            <w:pPr>
              <w:adjustRightInd w:val="0"/>
              <w:snapToGrid w:val="0"/>
              <w:spacing w:after="200"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color w:val="auto"/>
                <w:highlight w:val="none"/>
              </w:rPr>
            </w:pPr>
          </w:p>
        </w:tc>
        <w:tc>
          <w:tcPr>
            <w:tcW w:w="4251" w:type="dxa"/>
            <w:vAlign w:val="top"/>
          </w:tcPr>
          <w:p>
            <w:pPr>
              <w:adjustRightInd w:val="0"/>
              <w:snapToGrid w:val="0"/>
              <w:spacing w:after="200" w:line="360" w:lineRule="auto"/>
              <w:rPr>
                <w:rFonts w:hint="eastAsia" w:ascii="宋体" w:hAnsi="宋体" w:eastAsia="宋体" w:cs="宋体"/>
                <w:color w:val="auto"/>
                <w:highlight w:val="none"/>
              </w:rPr>
            </w:pPr>
          </w:p>
        </w:tc>
      </w:tr>
    </w:tbl>
    <w:p>
      <w:pPr>
        <w:spacing w:line="360" w:lineRule="auto"/>
        <w:rPr>
          <w:rFonts w:hint="eastAsia" w:ascii="宋体" w:hAnsi="宋体" w:eastAsia="宋体" w:cs="宋体"/>
          <w:color w:val="auto"/>
          <w:highlight w:val="none"/>
        </w:rPr>
      </w:pPr>
    </w:p>
    <w:p>
      <w:pPr>
        <w:spacing w:line="360" w:lineRule="auto"/>
        <w:ind w:left="105" w:leftChars="50" w:firstLine="315" w:firstLineChars="150"/>
        <w:rPr>
          <w:rFonts w:hint="eastAsia" w:ascii="宋体" w:hAnsi="宋体" w:eastAsia="宋体" w:cs="宋体"/>
          <w:color w:val="auto"/>
          <w:kern w:val="0"/>
          <w:sz w:val="22"/>
          <w:highlight w:val="none"/>
        </w:rPr>
      </w:pPr>
      <w:r>
        <w:rPr>
          <w:rFonts w:hint="eastAsia" w:ascii="宋体" w:hAnsi="宋体" w:eastAsia="宋体" w:cs="宋体"/>
          <w:color w:val="auto"/>
          <w:highlight w:val="none"/>
        </w:rPr>
        <w:t>3、本次招标要求的其他资格文件以及投标人认为需要声明的其他情况：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投标人公章：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日期：     年    月      日        </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（注：资格声明为格式文件,请勿修改，否则将导致投标文件无效。）</w:t>
      </w:r>
    </w:p>
    <w:p>
      <w:pPr>
        <w:spacing w:line="460" w:lineRule="exact"/>
        <w:rPr>
          <w:rFonts w:hint="eastAsia" w:ascii="宋体" w:hAnsi="宋体" w:eastAsia="宋体" w:cs="宋体"/>
          <w:bCs/>
          <w:color w:val="auto"/>
          <w:sz w:val="24"/>
          <w:highlight w:val="none"/>
        </w:rPr>
      </w:pPr>
    </w:p>
    <w:p>
      <w:pPr>
        <w:widowControl/>
        <w:jc w:val="left"/>
        <w:rPr>
          <w:rFonts w:hint="eastAsia" w:ascii="宋体" w:hAnsi="宋体" w:eastAsia="宋体" w:cs="宋体"/>
          <w:b/>
          <w:color w:val="auto"/>
          <w:szCs w:val="21"/>
          <w:highlight w:val="none"/>
        </w:rPr>
      </w:pPr>
    </w:p>
    <w:p>
      <w:pPr>
        <w:pStyle w:val="143"/>
        <w:spacing w:after="312" w:afterLines="100" w:line="360" w:lineRule="auto"/>
        <w:ind w:firstLine="0" w:firstLineChars="0"/>
        <w:jc w:val="center"/>
        <w:rPr>
          <w:rFonts w:hint="eastAsia" w:ascii="宋体" w:hAnsi="宋体" w:eastAsia="宋体" w:cs="宋体"/>
          <w:b/>
          <w:color w:val="auto"/>
          <w:sz w:val="21"/>
          <w:szCs w:val="21"/>
          <w:highlight w:val="none"/>
        </w:rPr>
      </w:pPr>
    </w:p>
    <w:p>
      <w:pPr>
        <w:pStyle w:val="143"/>
        <w:spacing w:after="312" w:afterLines="100"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法人授权书</w:t>
      </w:r>
    </w:p>
    <w:p>
      <w:pPr>
        <w:pStyle w:val="14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w:t>
      </w:r>
      <w:r>
        <w:rPr>
          <w:rFonts w:hint="eastAsia" w:ascii="宋体" w:hAnsi="宋体" w:cs="宋体"/>
          <w:color w:val="auto"/>
          <w:sz w:val="21"/>
          <w:szCs w:val="21"/>
          <w:highlight w:val="none"/>
          <w:u w:val="single"/>
          <w:lang w:eastAsia="zh-CN"/>
        </w:rPr>
        <w:t>JSZCZC2024012</w:t>
      </w:r>
      <w:r>
        <w:rPr>
          <w:rFonts w:hint="eastAsia" w:ascii="宋体" w:hAnsi="宋体" w:eastAsia="宋体" w:cs="宋体"/>
          <w:color w:val="auto"/>
          <w:sz w:val="21"/>
          <w:szCs w:val="21"/>
          <w:highlight w:val="none"/>
          <w:u w:val="single"/>
        </w:rPr>
        <w:t>号GZ4</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8地块项目渠道推广服务</w:t>
      </w:r>
      <w:r>
        <w:rPr>
          <w:rFonts w:hint="eastAsia" w:ascii="宋体" w:hAnsi="宋体" w:eastAsia="宋体" w:cs="宋体"/>
          <w:color w:val="auto"/>
          <w:sz w:val="21"/>
          <w:szCs w:val="21"/>
          <w:highlight w:val="none"/>
        </w:rPr>
        <w:t>采购活动的合法代理人，以本公司名义全权处理一切与该项目采购有关的事务。</w:t>
      </w:r>
    </w:p>
    <w:p>
      <w:pPr>
        <w:pStyle w:val="14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pPr>
        <w:pStyle w:val="143"/>
        <w:spacing w:line="360" w:lineRule="auto"/>
        <w:ind w:firstLine="0" w:firstLineChars="0"/>
        <w:rPr>
          <w:rFonts w:hint="eastAsia" w:ascii="宋体" w:hAnsi="宋体" w:eastAsia="宋体" w:cs="宋体"/>
          <w:color w:val="auto"/>
          <w:sz w:val="21"/>
          <w:szCs w:val="21"/>
          <w:highlight w:val="none"/>
        </w:rPr>
      </w:pPr>
    </w:p>
    <w:p>
      <w:pPr>
        <w:pStyle w:val="14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pPr>
        <w:pStyle w:val="143"/>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联系电话（手机）：</w:t>
      </w:r>
    </w:p>
    <w:p>
      <w:pPr>
        <w:pStyle w:val="143"/>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单位名称：_____________________________________</w:t>
      </w:r>
    </w:p>
    <w:p>
      <w:pPr>
        <w:pStyle w:val="143"/>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授权单位盖章：_________________________________</w:t>
      </w:r>
    </w:p>
    <w:p>
      <w:pPr>
        <w:pStyle w:val="143"/>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pPr>
        <w:pStyle w:val="14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spacing w:line="460" w:lineRule="exact"/>
        <w:rPr>
          <w:rFonts w:hint="eastAsia" w:ascii="宋体" w:hAnsi="宋体" w:eastAsia="宋体" w:cs="宋体"/>
          <w:bCs/>
          <w:color w:val="auto"/>
          <w:szCs w:val="21"/>
          <w:highlight w:val="none"/>
        </w:rPr>
      </w:pPr>
    </w:p>
    <w:p>
      <w:pPr>
        <w:spacing w:line="460" w:lineRule="exact"/>
        <w:rPr>
          <w:rFonts w:hint="eastAsia" w:ascii="宋体" w:hAnsi="宋体" w:eastAsia="宋体" w:cs="宋体"/>
          <w:bCs/>
          <w:color w:val="auto"/>
          <w:sz w:val="24"/>
          <w:highlight w:val="none"/>
        </w:rPr>
      </w:pPr>
    </w:p>
    <w:p>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被授权人身份证复印件：</w:t>
      </w: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widowControl/>
        <w:jc w:val="left"/>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参加本次采购活动前 3 年内在经营活动中没有重大违法记录的书面声明</w:t>
      </w:r>
    </w:p>
    <w:p>
      <w:pPr>
        <w:spacing w:line="360" w:lineRule="auto"/>
        <w:rPr>
          <w:rFonts w:hint="eastAsia" w:ascii="宋体" w:hAnsi="宋体" w:eastAsia="宋体" w:cs="宋体"/>
          <w:color w:val="auto"/>
          <w:szCs w:val="21"/>
          <w:highlight w:val="none"/>
        </w:rPr>
      </w:pPr>
    </w:p>
    <w:p>
      <w:pPr>
        <w:spacing w:after="312" w:afterLines="10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声  明</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pPr>
        <w:wordWrap w:val="0"/>
        <w:spacing w:line="360" w:lineRule="auto"/>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供应商名称（公章）：_______________________</w:t>
      </w:r>
    </w:p>
    <w:p>
      <w:pPr>
        <w:spacing w:line="360" w:lineRule="auto"/>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法定代表人或授权代表签字：_______________________</w:t>
      </w:r>
    </w:p>
    <w:p>
      <w:pPr>
        <w:spacing w:line="360" w:lineRule="auto"/>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日期：______年______月______日</w:t>
      </w: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供应商信用承诺书</w:t>
      </w:r>
    </w:p>
    <w:p>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承诺主体名称：</w:t>
      </w:r>
    </w:p>
    <w:p>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统一社会信用代码：</w:t>
      </w:r>
    </w:p>
    <w:p>
      <w:pPr>
        <w:spacing w:line="560" w:lineRule="exact"/>
        <w:rPr>
          <w:rFonts w:hint="eastAsia" w:ascii="宋体" w:hAnsi="宋体" w:eastAsia="宋体" w:cs="宋体"/>
          <w:color w:val="auto"/>
          <w:szCs w:val="32"/>
          <w:highlight w:val="none"/>
        </w:rPr>
      </w:pP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为维护公平竞争、规范有序的市场秩序，营造诚实守信的信用环境，共同推进社会信用体系建设完善，树立企业诚信守法形象，本企业对________________________项目采购活动郑重承诺如下:</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四、自觉接受行政管理部门、行业组织、社会公众、新闻舆论的监督；</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六、提出政府采购质疑和投诉坚持依法依规、诚实信用原则，在全国范围12个月内没有三次以上查无实据的政府采购投诉；</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七、严格遵守信用信息公示相关规定，向社会公示信用信息；</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八、在“信用中国”和“中国政府采购网”网站中无违法违规、较重或严重失信记录；</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十、本承诺书自签订之日起生效。</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（注：法定代表人或负责人、主体名称发生变更的应当重新做出承诺。）</w:t>
      </w:r>
    </w:p>
    <w:p>
      <w:pPr>
        <w:spacing w:line="560" w:lineRule="exact"/>
        <w:jc w:val="righ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承诺单位（签章）：</w:t>
      </w:r>
      <w:r>
        <w:rPr>
          <w:rFonts w:hint="eastAsia" w:ascii="宋体" w:hAnsi="宋体" w:eastAsia="宋体" w:cs="宋体"/>
          <w:bCs/>
          <w:color w:val="auto"/>
          <w:szCs w:val="21"/>
          <w:highlight w:val="none"/>
        </w:rPr>
        <w:t>_______________________</w:t>
      </w:r>
    </w:p>
    <w:p>
      <w:pPr>
        <w:spacing w:line="560" w:lineRule="exact"/>
        <w:jc w:val="right"/>
        <w:rPr>
          <w:rFonts w:hint="eastAsia" w:ascii="宋体" w:hAnsi="宋体" w:eastAsia="宋体" w:cs="宋体"/>
          <w:bCs/>
          <w:color w:val="auto"/>
          <w:szCs w:val="21"/>
          <w:highlight w:val="none"/>
        </w:rPr>
      </w:pPr>
      <w:r>
        <w:rPr>
          <w:rFonts w:hint="eastAsia" w:ascii="宋体" w:hAnsi="宋体" w:eastAsia="宋体" w:cs="宋体"/>
          <w:color w:val="auto"/>
          <w:szCs w:val="32"/>
          <w:highlight w:val="none"/>
        </w:rPr>
        <w:t>法定代表人（负责人）：</w:t>
      </w:r>
      <w:r>
        <w:rPr>
          <w:rFonts w:hint="eastAsia" w:ascii="宋体" w:hAnsi="宋体" w:eastAsia="宋体" w:cs="宋体"/>
          <w:bCs/>
          <w:color w:val="auto"/>
          <w:szCs w:val="21"/>
          <w:highlight w:val="none"/>
        </w:rPr>
        <w:t>_______________________</w:t>
      </w:r>
    </w:p>
    <w:p>
      <w:pPr>
        <w:spacing w:line="560" w:lineRule="exact"/>
        <w:jc w:val="right"/>
        <w:rPr>
          <w:rFonts w:hint="eastAsia" w:ascii="宋体" w:hAnsi="宋体" w:eastAsia="宋体" w:cs="宋体"/>
          <w:color w:val="auto"/>
          <w:szCs w:val="32"/>
          <w:highlight w:val="none"/>
        </w:rPr>
      </w:pPr>
      <w:r>
        <w:rPr>
          <w:rFonts w:hint="eastAsia" w:ascii="宋体" w:hAnsi="宋体" w:eastAsia="宋体" w:cs="宋体"/>
          <w:bCs/>
          <w:color w:val="auto"/>
          <w:szCs w:val="21"/>
          <w:highlight w:val="none"/>
        </w:rPr>
        <w:t>日期：______年______月______日</w:t>
      </w:r>
    </w:p>
    <w:p>
      <w:pPr>
        <w:widowControl/>
        <w:jc w:val="left"/>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jc w:val="left"/>
        <w:rPr>
          <w:rFonts w:hint="eastAsia" w:ascii="宋体" w:hAnsi="宋体" w:eastAsia="宋体" w:cs="宋体"/>
          <w:color w:val="auto"/>
          <w:highlight w:val="none"/>
        </w:rPr>
      </w:pPr>
    </w:p>
    <w:p>
      <w:pPr>
        <w:jc w:val="left"/>
        <w:rPr>
          <w:rFonts w:hint="eastAsia" w:ascii="宋体" w:hAnsi="宋体" w:eastAsia="宋体" w:cs="宋体"/>
          <w:color w:val="auto"/>
          <w:highlight w:val="none"/>
        </w:rPr>
      </w:pPr>
    </w:p>
    <w:p>
      <w:pPr>
        <w:widowControl/>
        <w:jc w:val="left"/>
        <w:rPr>
          <w:rFonts w:hint="eastAsia" w:ascii="宋体" w:hAnsi="宋体" w:eastAsia="宋体" w:cs="宋体"/>
          <w:b/>
          <w:bCs/>
          <w:color w:val="auto"/>
          <w:highlight w:val="none"/>
        </w:rPr>
      </w:pPr>
    </w:p>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Cs w:val="21"/>
          <w:highlight w:val="none"/>
        </w:rPr>
        <w:t>三、开标一览表</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项目名称：GZ4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8地块项目渠道推广服务</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JSZCZC2024012</w:t>
      </w:r>
      <w:r>
        <w:rPr>
          <w:rFonts w:hint="eastAsia" w:ascii="宋体" w:hAnsi="宋体" w:eastAsia="宋体" w:cs="宋体"/>
          <w:color w:val="auto"/>
          <w:szCs w:val="21"/>
          <w:highlight w:val="none"/>
        </w:rPr>
        <w:t>号</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443"/>
        <w:gridCol w:w="2443"/>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19" w:type="pct"/>
            <w:vMerge w:val="restart"/>
            <w:tcBorders>
              <w:top w:val="single" w:color="auto" w:sz="4" w:space="0"/>
              <w:left w:val="single" w:color="auto" w:sz="4" w:space="0"/>
              <w:right w:val="single" w:color="auto" w:sz="4" w:space="0"/>
            </w:tcBorders>
            <w:vAlign w:val="center"/>
          </w:tcPr>
          <w:p>
            <w:pPr>
              <w:pStyle w:val="23"/>
              <w:adjustRightInd w:val="0"/>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368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19" w:type="pct"/>
            <w:vMerge w:val="continue"/>
            <w:tcBorders>
              <w:left w:val="single" w:color="auto" w:sz="4" w:space="0"/>
              <w:bottom w:val="single" w:color="auto" w:sz="4" w:space="0"/>
              <w:right w:val="single" w:color="auto" w:sz="4" w:space="0"/>
            </w:tcBorders>
            <w:vAlign w:val="center"/>
          </w:tcPr>
          <w:p>
            <w:pPr>
              <w:adjustRightInd w:val="0"/>
              <w:snapToGrid w:val="0"/>
              <w:spacing w:after="200" w:line="220" w:lineRule="atLeast"/>
              <w:jc w:val="center"/>
              <w:rPr>
                <w:color w:val="auto"/>
                <w:highlight w:val="none"/>
              </w:rPr>
            </w:pP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含税总价（元）</w:t>
            </w:r>
          </w:p>
        </w:tc>
        <w:tc>
          <w:tcPr>
            <w:tcW w:w="1226" w:type="pct"/>
            <w:tcBorders>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不含税总价（元）</w:t>
            </w:r>
          </w:p>
        </w:tc>
        <w:tc>
          <w:tcPr>
            <w:tcW w:w="1227" w:type="pct"/>
            <w:tcBorders>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税金（元）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19" w:type="pct"/>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0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GZ4</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8地块项目渠道推广服务</w:t>
            </w: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小</w:t>
            </w:r>
            <w:r>
              <w:rPr>
                <w:rFonts w:hint="eastAsia" w:ascii="宋体" w:hAnsi="宋体" w:eastAsia="宋体" w:cs="宋体"/>
                <w:color w:val="auto"/>
                <w:szCs w:val="21"/>
                <w:highlight w:val="none"/>
              </w:rPr>
              <w:t>写：</w:t>
            </w:r>
          </w:p>
          <w:p>
            <w:pPr>
              <w:adjustRightInd w:val="0"/>
              <w:snapToGrid w:val="0"/>
              <w:spacing w:line="30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大写：（人民币）</w:t>
            </w: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小</w:t>
            </w:r>
            <w:r>
              <w:rPr>
                <w:rFonts w:hint="eastAsia" w:ascii="宋体" w:hAnsi="宋体" w:eastAsia="宋体" w:cs="宋体"/>
                <w:color w:val="auto"/>
                <w:szCs w:val="21"/>
                <w:highlight w:val="none"/>
              </w:rPr>
              <w:t>写：</w:t>
            </w:r>
          </w:p>
          <w:p>
            <w:pPr>
              <w:adjustRightInd w:val="0"/>
              <w:snapToGrid w:val="0"/>
              <w:spacing w:line="30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大写：（人民币）</w:t>
            </w:r>
          </w:p>
        </w:tc>
        <w:tc>
          <w:tcPr>
            <w:tcW w:w="12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w:t>
            </w:r>
          </w:p>
          <w:p>
            <w:pPr>
              <w:adjustRightInd w:val="0"/>
              <w:snapToGrid w:val="0"/>
              <w:spacing w:line="30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大写：（人民币）</w:t>
            </w:r>
          </w:p>
          <w:p>
            <w:pPr>
              <w:adjustRightInd w:val="0"/>
              <w:snapToGrid w:val="0"/>
              <w:spacing w:line="300" w:lineRule="auto"/>
              <w:jc w:val="both"/>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3680"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p>
      <w:pPr>
        <w:spacing w:line="360" w:lineRule="auto"/>
        <w:jc w:val="righ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日期：______年______月______日</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pacing w:line="360" w:lineRule="auto"/>
        <w:ind w:firstLine="480"/>
        <w:rPr>
          <w:rFonts w:hint="eastAsia" w:ascii="宋体" w:hAnsi="宋体" w:eastAsia="宋体" w:cs="宋体"/>
          <w:i/>
          <w:color w:val="auto"/>
          <w:szCs w:val="21"/>
          <w:highlight w:val="none"/>
        </w:rPr>
      </w:pPr>
      <w:r>
        <w:rPr>
          <w:rFonts w:hint="eastAsia" w:ascii="宋体" w:hAnsi="宋体" w:eastAsia="宋体" w:cs="宋体"/>
          <w:i/>
          <w:color w:val="auto"/>
          <w:szCs w:val="21"/>
          <w:highlight w:val="none"/>
        </w:rPr>
        <w:t>1、</w:t>
      </w:r>
      <w:r>
        <w:rPr>
          <w:rFonts w:hint="eastAsia" w:ascii="宋体" w:hAnsi="宋体" w:eastAsia="宋体" w:cs="宋体"/>
          <w:bCs/>
          <w:i/>
          <w:color w:val="auto"/>
          <w:szCs w:val="21"/>
          <w:highlight w:val="none"/>
          <w:u w:val="single"/>
        </w:rPr>
        <w:t>开标一览表必须加盖投标人公章（复印件无效）</w:t>
      </w:r>
      <w:r>
        <w:rPr>
          <w:rFonts w:hint="eastAsia" w:ascii="宋体" w:hAnsi="宋体" w:eastAsia="宋体" w:cs="宋体"/>
          <w:i/>
          <w:color w:val="auto"/>
          <w:szCs w:val="21"/>
          <w:highlight w:val="none"/>
        </w:rPr>
        <w:t>。</w:t>
      </w:r>
    </w:p>
    <w:p>
      <w:pPr>
        <w:pStyle w:val="25"/>
        <w:numPr>
          <w:ilvl w:val="0"/>
          <w:numId w:val="0"/>
        </w:numPr>
        <w:ind w:left="420"/>
        <w:rPr>
          <w:rFonts w:hint="eastAsia" w:ascii="宋体" w:hAnsi="宋体" w:eastAsia="宋体" w:cs="宋体"/>
          <w:color w:val="auto"/>
          <w:highlight w:val="none"/>
        </w:rPr>
      </w:pPr>
    </w:p>
    <w:p>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pPr>
        <w:spacing w:after="312" w:afterLines="100" w:line="360" w:lineRule="auto"/>
        <w:jc w:val="center"/>
        <w:rPr>
          <w:rFonts w:hint="eastAsia" w:ascii="宋体" w:hAnsi="宋体" w:eastAsia="宋体" w:cs="宋体"/>
          <w:b/>
          <w:color w:val="auto"/>
          <w:szCs w:val="21"/>
          <w:highlight w:val="none"/>
        </w:rPr>
        <w:sectPr>
          <w:footerReference r:id="rId8" w:type="default"/>
          <w:pgSz w:w="11906" w:h="16838"/>
          <w:pgMar w:top="1440" w:right="1080" w:bottom="1440" w:left="1080" w:header="851" w:footer="567" w:gutter="0"/>
          <w:pgNumType w:fmt="decimal" w:start="1"/>
          <w:cols w:space="0" w:num="1"/>
          <w:docGrid w:type="lines" w:linePitch="312" w:charSpace="0"/>
        </w:sectPr>
      </w:pPr>
    </w:p>
    <w:p>
      <w:pPr>
        <w:spacing w:after="240" w:afterLines="100" w:line="360" w:lineRule="auto"/>
        <w:jc w:val="center"/>
        <w:rPr>
          <w:rFonts w:hint="eastAsia" w:ascii="宋体" w:hAnsi="宋体" w:eastAsia="宋体" w:cs="宋体"/>
          <w:b/>
          <w:color w:val="auto"/>
          <w:szCs w:val="21"/>
          <w:highlight w:val="none"/>
        </w:rPr>
      </w:pPr>
    </w:p>
    <w:p>
      <w:pPr>
        <w:spacing w:after="240"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四、分项报价表</w:t>
      </w:r>
    </w:p>
    <w:p>
      <w:pPr>
        <w:spacing w:after="240" w:afterLines="10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41"/>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972"/>
        <w:gridCol w:w="1725"/>
        <w:gridCol w:w="1725"/>
        <w:gridCol w:w="1725"/>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109"/>
                <w:b/>
                <w:bCs/>
                <w:color w:val="auto"/>
                <w:sz w:val="24"/>
                <w:szCs w:val="24"/>
                <w:highlight w:val="none"/>
                <w:lang w:val="en-US" w:eastAsia="zh-CN" w:bidi="ar"/>
              </w:rPr>
            </w:pPr>
            <w:r>
              <w:rPr>
                <w:rStyle w:val="109"/>
                <w:rFonts w:hint="eastAsia"/>
                <w:b/>
                <w:bCs/>
                <w:color w:val="auto"/>
                <w:sz w:val="24"/>
                <w:szCs w:val="24"/>
                <w:highlight w:val="none"/>
                <w:lang w:val="en-US" w:eastAsia="zh-CN" w:bidi="ar"/>
              </w:rPr>
              <w:t>GZ458地块项目2024年渠道推广服务报价清单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09"/>
                <w:b/>
                <w:bCs/>
                <w:color w:val="auto"/>
                <w:sz w:val="24"/>
                <w:szCs w:val="24"/>
                <w:highlight w:val="none"/>
                <w:lang w:val="en-US" w:eastAsia="zh-CN" w:bidi="ar"/>
              </w:rPr>
              <w:t>项目名称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不含税总价</w:t>
            </w:r>
            <w:r>
              <w:rPr>
                <w:rFonts w:hint="eastAsia" w:ascii="宋体" w:hAnsi="宋体" w:eastAsia="宋体" w:cs="宋体"/>
                <w:b/>
                <w:bCs/>
                <w:i w:val="0"/>
                <w:iCs w:val="0"/>
                <w:color w:val="auto"/>
                <w:kern w:val="0"/>
                <w:sz w:val="24"/>
                <w:szCs w:val="24"/>
                <w:highlight w:val="none"/>
                <w:u w:val="none"/>
                <w:lang w:val="en-US" w:eastAsia="zh-CN" w:bidi="ar"/>
              </w:rPr>
              <w:t>（元）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税金</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eastAsia"/>
                <w:b/>
                <w:bCs/>
                <w:color w:val="auto"/>
                <w:sz w:val="24"/>
                <w:szCs w:val="24"/>
                <w:highlight w:val="none"/>
                <w:lang w:val="en-US" w:eastAsia="zh-CN" w:bidi="ar"/>
              </w:rPr>
            </w:pPr>
            <w:r>
              <w:rPr>
                <w:rStyle w:val="109"/>
                <w:rFonts w:hint="eastAsia"/>
                <w:b/>
                <w:bCs/>
                <w:color w:val="auto"/>
                <w:sz w:val="24"/>
                <w:szCs w:val="24"/>
                <w:highlight w:val="none"/>
                <w:lang w:val="en-US" w:eastAsia="zh-CN" w:bidi="ar"/>
              </w:rPr>
              <w:t>含税总价</w:t>
            </w:r>
          </w:p>
          <w:p>
            <w:pPr>
              <w:keepNext w:val="0"/>
              <w:keepLines w:val="0"/>
              <w:widowControl/>
              <w:suppressLineNumbers w:val="0"/>
              <w:jc w:val="center"/>
              <w:textAlignment w:val="center"/>
              <w:rPr>
                <w:rStyle w:val="109"/>
                <w:rFonts w:hint="default"/>
                <w:b/>
                <w:bCs/>
                <w:color w:val="auto"/>
                <w:sz w:val="24"/>
                <w:szCs w:val="24"/>
                <w:highlight w:val="none"/>
                <w:lang w:val="en-US" w:eastAsia="zh-CN" w:bidi="ar"/>
              </w:rPr>
            </w:pPr>
            <w:r>
              <w:rPr>
                <w:rStyle w:val="109"/>
                <w:rFonts w:hint="eastAsia"/>
                <w:b/>
                <w:bCs/>
                <w:color w:val="auto"/>
                <w:sz w:val="24"/>
                <w:szCs w:val="24"/>
                <w:highlight w:val="none"/>
                <w:lang w:val="en-US" w:eastAsia="zh-CN" w:bidi="ar"/>
              </w:rPr>
              <w:t>（元）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109"/>
                <w:b/>
                <w:bCs/>
                <w:color w:val="auto"/>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default"/>
                <w:color w:val="auto"/>
                <w:sz w:val="24"/>
                <w:szCs w:val="24"/>
                <w:highlight w:val="none"/>
                <w:lang w:val="en-US" w:eastAsia="zh-CN" w:bidi="ar"/>
              </w:rPr>
            </w:pPr>
            <w:r>
              <w:rPr>
                <w:rStyle w:val="109"/>
                <w:rFonts w:hint="eastAsia"/>
                <w:color w:val="auto"/>
                <w:sz w:val="24"/>
                <w:szCs w:val="24"/>
                <w:highlight w:val="none"/>
                <w:lang w:val="en-US" w:eastAsia="zh-CN" w:bidi="ar"/>
              </w:rPr>
              <w:t>媒体推广费</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default"/>
                <w:color w:val="auto"/>
                <w:sz w:val="24"/>
                <w:szCs w:val="24"/>
                <w:highlight w:val="none"/>
                <w:lang w:val="en-US" w:eastAsia="zh-CN" w:bidi="ar"/>
              </w:rPr>
            </w:pPr>
            <w:r>
              <w:rPr>
                <w:rStyle w:val="109"/>
                <w:rFonts w:hint="eastAsia"/>
                <w:color w:val="auto"/>
                <w:sz w:val="24"/>
                <w:szCs w:val="24"/>
                <w:highlight w:val="none"/>
                <w:lang w:val="en-US" w:eastAsia="zh-CN" w:bidi="ar"/>
              </w:rPr>
              <w:t>渠道拓客费</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default"/>
                <w:color w:val="auto"/>
                <w:sz w:val="24"/>
                <w:szCs w:val="24"/>
                <w:highlight w:val="none"/>
                <w:lang w:val="en-US" w:eastAsia="zh-CN" w:bidi="ar"/>
              </w:rPr>
            </w:pPr>
            <w:r>
              <w:rPr>
                <w:rStyle w:val="109"/>
                <w:rFonts w:hint="eastAsia"/>
                <w:color w:val="auto"/>
                <w:sz w:val="24"/>
                <w:szCs w:val="24"/>
                <w:highlight w:val="none"/>
                <w:lang w:val="en-US" w:eastAsia="zh-CN" w:bidi="ar"/>
              </w:rPr>
              <w:t>活动推广费</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default"/>
                <w:color w:val="auto"/>
                <w:sz w:val="24"/>
                <w:szCs w:val="24"/>
                <w:highlight w:val="none"/>
                <w:lang w:val="en-US" w:eastAsia="zh-CN" w:bidi="ar"/>
              </w:rPr>
            </w:pPr>
            <w:r>
              <w:rPr>
                <w:rStyle w:val="109"/>
                <w:rFonts w:hint="eastAsia"/>
                <w:color w:val="auto"/>
                <w:sz w:val="24"/>
                <w:szCs w:val="24"/>
                <w:highlight w:val="none"/>
                <w:lang w:val="en-US" w:eastAsia="zh-CN" w:bidi="ar"/>
              </w:rPr>
              <w:t>营销物料制作费</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5</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9"/>
                <w:rFonts w:hint="default"/>
                <w:b/>
                <w:bCs/>
                <w:color w:val="auto"/>
                <w:sz w:val="24"/>
                <w:szCs w:val="24"/>
                <w:highlight w:val="none"/>
                <w:lang w:val="en-US" w:eastAsia="zh-CN" w:bidi="ar"/>
              </w:rPr>
            </w:pPr>
            <w:r>
              <w:rPr>
                <w:rStyle w:val="109"/>
                <w:rFonts w:hint="eastAsia"/>
                <w:b/>
                <w:bCs/>
                <w:color w:val="auto"/>
                <w:sz w:val="24"/>
                <w:szCs w:val="24"/>
                <w:highlight w:val="none"/>
                <w:lang w:val="en-US" w:eastAsia="zh-CN" w:bidi="ar"/>
              </w:rPr>
              <w:t>合计</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bl>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p>
    <w:p>
      <w:pPr>
        <w:rPr>
          <w:color w:val="auto"/>
          <w:highlight w:val="none"/>
        </w:rPr>
      </w:pPr>
    </w:p>
    <w:p>
      <w:pPr>
        <w:rPr>
          <w:color w:val="auto"/>
          <w:highlight w:val="none"/>
        </w:rPr>
      </w:pPr>
      <w:r>
        <w:rPr>
          <w:color w:val="auto"/>
          <w:highlight w:val="none"/>
        </w:rPr>
        <w:br w:type="page"/>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附表1：媒体推广费报价清单</w:t>
      </w:r>
    </w:p>
    <w:p>
      <w:pPr>
        <w:spacing w:after="240" w:afterLines="100" w:line="360" w:lineRule="auto"/>
        <w:rPr>
          <w:rFonts w:hint="default"/>
          <w:color w:val="auto"/>
          <w:highlight w:val="none"/>
          <w:lang w:val="en-US" w:eastAsia="zh-CN"/>
        </w:rPr>
      </w:pPr>
      <w:r>
        <w:rPr>
          <w:rFonts w:hint="eastAsia" w:ascii="宋体" w:hAnsi="宋体" w:eastAsia="宋体" w:cs="宋体"/>
          <w:color w:val="auto"/>
          <w:szCs w:val="21"/>
          <w:highlight w:val="none"/>
        </w:rPr>
        <w:t>投标人全称（加盖公章）：</w:t>
      </w:r>
    </w:p>
    <w:tbl>
      <w:tblPr>
        <w:tblStyle w:val="41"/>
        <w:tblW w:w="5287" w:type="pct"/>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866"/>
        <w:gridCol w:w="226"/>
        <w:gridCol w:w="603"/>
        <w:gridCol w:w="29"/>
        <w:gridCol w:w="569"/>
        <w:gridCol w:w="199"/>
        <w:gridCol w:w="784"/>
        <w:gridCol w:w="777"/>
        <w:gridCol w:w="506"/>
        <w:gridCol w:w="1065"/>
        <w:gridCol w:w="3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媒体推广</w:t>
            </w:r>
            <w:r>
              <w:rPr>
                <w:rFonts w:hint="eastAsia" w:ascii="宋体" w:hAnsi="宋体" w:cs="宋体"/>
                <w:b/>
                <w:bCs/>
                <w:i w:val="0"/>
                <w:iCs w:val="0"/>
                <w:color w:val="auto"/>
                <w:kern w:val="0"/>
                <w:sz w:val="21"/>
                <w:szCs w:val="21"/>
                <w:highlight w:val="none"/>
                <w:u w:val="none"/>
                <w:lang w:val="en-US" w:eastAsia="zh-CN" w:bidi="ar"/>
              </w:rPr>
              <w:t>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序号</w:t>
            </w:r>
          </w:p>
        </w:tc>
        <w:tc>
          <w:tcPr>
            <w:tcW w:w="885" w:type="pct"/>
            <w:tcBorders>
              <w:top w:val="single" w:color="000000"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项目名称</w:t>
            </w:r>
          </w:p>
        </w:tc>
        <w:tc>
          <w:tcPr>
            <w:tcW w:w="393" w:type="pct"/>
            <w:gridSpan w:val="2"/>
            <w:tcBorders>
              <w:top w:val="single" w:color="000000" w:sz="4" w:space="0"/>
              <w:left w:val="nil"/>
              <w:bottom w:val="nil"/>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78" w:type="pct"/>
            <w:gridSpan w:val="3"/>
            <w:tcBorders>
              <w:top w:val="single" w:color="000000" w:sz="4" w:space="0"/>
              <w:left w:val="nil"/>
              <w:bottom w:val="nil"/>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40" w:type="pct"/>
            <w:gridSpan w:val="2"/>
            <w:tcBorders>
              <w:top w:val="single" w:color="000000" w:sz="4" w:space="0"/>
              <w:left w:val="nil"/>
              <w:bottom w:val="nil"/>
              <w:right w:val="single" w:color="000000"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不含税</w:t>
            </w:r>
            <w:r>
              <w:rPr>
                <w:rFonts w:hint="eastAsia" w:ascii="宋体" w:hAnsi="宋体" w:eastAsia="宋体" w:cs="宋体"/>
                <w:b/>
                <w:bCs/>
                <w:i w:val="0"/>
                <w:iCs w:val="0"/>
                <w:color w:val="auto"/>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745" w:type="pct"/>
            <w:gridSpan w:val="2"/>
            <w:tcBorders>
              <w:top w:val="single" w:color="000000" w:sz="4" w:space="0"/>
              <w:left w:val="nil"/>
              <w:bottom w:val="nil"/>
              <w:right w:val="single" w:color="000000"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不含税合价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1432" w:type="pct"/>
            <w:tcBorders>
              <w:top w:val="single" w:color="000000" w:sz="4" w:space="0"/>
              <w:left w:val="single" w:color="000000" w:sz="4" w:space="0"/>
              <w:bottom w:val="nil"/>
              <w:right w:val="single" w:color="000000"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电视发声</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例如：电视报道、电视广告、节目广告等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电台发声</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例如：电台广告、电台节目宣传等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新媒体宣传</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例如：主播看房、选视频宣传片制作、抖音等视频号发布等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主流媒体宣传</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25</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例如：媒体门户网站、APP、公众号等硬广发声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户外宣传</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块·月</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每块每月。例如：商场大屏、主路口大屏、户外大牌等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活动、赛事策划/冠名/合作</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例如：车展、晚会、马拉松等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房展会</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8"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0"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9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8"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0"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single" w:color="000000" w:sz="4" w:space="0"/>
              <w:left w:val="single" w:color="000000" w:sz="4" w:space="0"/>
              <w:bottom w:val="single" w:color="auto"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投标人按照各自投标方案拓展</w:t>
            </w:r>
            <w:r>
              <w:rPr>
                <w:rFonts w:hint="eastAsia" w:ascii="宋体" w:hAnsi="宋体" w:cs="宋体"/>
                <w:i w:val="0"/>
                <w:iCs w:val="0"/>
                <w:color w:val="auto"/>
                <w:kern w:val="0"/>
                <w:sz w:val="21"/>
                <w:szCs w:val="21"/>
                <w:highlight w:val="none"/>
                <w:u w:val="none"/>
                <w:lang w:val="en-US" w:eastAsia="zh-CN" w:bidi="ar"/>
              </w:rPr>
              <w:t>分项内容</w:t>
            </w:r>
            <w:r>
              <w:rPr>
                <w:rFonts w:hint="eastAsia" w:ascii="宋体" w:hAnsi="宋体" w:eastAsia="宋体" w:cs="宋体"/>
                <w:i w:val="0"/>
                <w:iCs w:val="0"/>
                <w:color w:val="auto"/>
                <w:kern w:val="0"/>
                <w:sz w:val="21"/>
                <w:szCs w:val="21"/>
                <w:highlight w:val="none"/>
                <w:u w:val="none"/>
                <w:lang w:val="en-US" w:eastAsia="zh-CN" w:bidi="ar"/>
              </w:rPr>
              <w:t>及数量，媒体推广宣传通路种类及推广数量不得低于清单要求；投标清单中需对每种宣传通路分项</w:t>
            </w:r>
            <w:r>
              <w:rPr>
                <w:rFonts w:hint="eastAsia" w:ascii="宋体" w:hAnsi="宋体" w:cs="宋体"/>
                <w:i w:val="0"/>
                <w:iCs w:val="0"/>
                <w:color w:val="auto"/>
                <w:kern w:val="0"/>
                <w:sz w:val="21"/>
                <w:szCs w:val="21"/>
                <w:highlight w:val="none"/>
                <w:u w:val="none"/>
                <w:lang w:val="en-US" w:eastAsia="zh-CN" w:bidi="ar"/>
              </w:rPr>
              <w:t>分别</w:t>
            </w:r>
            <w:r>
              <w:rPr>
                <w:rFonts w:hint="eastAsia" w:ascii="宋体" w:hAnsi="宋体" w:eastAsia="宋体" w:cs="宋体"/>
                <w:i w:val="0"/>
                <w:iCs w:val="0"/>
                <w:color w:val="auto"/>
                <w:kern w:val="0"/>
                <w:sz w:val="21"/>
                <w:szCs w:val="21"/>
                <w:highlight w:val="none"/>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23"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一</w:t>
            </w:r>
          </w:p>
        </w:tc>
        <w:tc>
          <w:tcPr>
            <w:tcW w:w="885" w:type="pct"/>
            <w:tcBorders>
              <w:top w:val="single" w:color="000000" w:sz="4" w:space="0"/>
              <w:left w:val="single" w:color="000000" w:sz="4" w:space="0"/>
              <w:bottom w:val="single" w:color="000000"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不含税总价</w:t>
            </w:r>
          </w:p>
        </w:tc>
        <w:tc>
          <w:tcPr>
            <w:tcW w:w="393"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78" w:type="pct"/>
            <w:gridSpan w:val="3"/>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0"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5"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0</w:t>
            </w:r>
          </w:p>
        </w:tc>
        <w:tc>
          <w:tcPr>
            <w:tcW w:w="1432"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23"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二</w:t>
            </w:r>
          </w:p>
        </w:tc>
        <w:tc>
          <w:tcPr>
            <w:tcW w:w="885" w:type="pct"/>
            <w:tcBorders>
              <w:top w:val="single" w:color="000000" w:sz="4" w:space="0"/>
              <w:left w:val="single" w:color="000000" w:sz="4" w:space="0"/>
              <w:bottom w:val="single" w:color="000000"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税金</w:t>
            </w:r>
          </w:p>
        </w:tc>
        <w:tc>
          <w:tcPr>
            <w:tcW w:w="393"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78" w:type="pct"/>
            <w:gridSpan w:val="3"/>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0"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5"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1432"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税率</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cs="宋体"/>
                <w:b/>
                <w:bCs/>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23"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三</w:t>
            </w:r>
          </w:p>
        </w:tc>
        <w:tc>
          <w:tcPr>
            <w:tcW w:w="885" w:type="pct"/>
            <w:tcBorders>
              <w:top w:val="single" w:color="000000" w:sz="4" w:space="0"/>
              <w:left w:val="single" w:color="000000" w:sz="4" w:space="0"/>
              <w:bottom w:val="single" w:color="000000"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含税总价</w:t>
            </w:r>
          </w:p>
        </w:tc>
        <w:tc>
          <w:tcPr>
            <w:tcW w:w="393"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78" w:type="pct"/>
            <w:gridSpan w:val="3"/>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0"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745"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1432"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default" w:ascii="宋体" w:hAnsi="宋体" w:eastAsia="宋体" w:cs="宋体"/>
                <w:b/>
                <w:bCs/>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42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99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99"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7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466"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08"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0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43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23" w:type="pct"/>
            <w:tcBorders>
              <w:top w:val="nil"/>
              <w:left w:val="nil"/>
              <w:bottom w:val="nil"/>
              <w:right w:val="nil"/>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c>
          <w:tcPr>
            <w:tcW w:w="4576" w:type="pct"/>
            <w:gridSpan w:val="11"/>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媒体推广</w:t>
            </w:r>
            <w:r>
              <w:rPr>
                <w:rFonts w:hint="eastAsia" w:ascii="宋体" w:hAnsi="宋体" w:cs="宋体"/>
                <w:i w:val="0"/>
                <w:iCs w:val="0"/>
                <w:color w:val="auto"/>
                <w:kern w:val="0"/>
                <w:sz w:val="21"/>
                <w:szCs w:val="21"/>
                <w:highlight w:val="none"/>
                <w:u w:val="none"/>
                <w:lang w:val="en-US" w:eastAsia="zh-CN" w:bidi="ar"/>
              </w:rPr>
              <w:t>费</w:t>
            </w:r>
            <w:r>
              <w:rPr>
                <w:rFonts w:hint="eastAsia" w:ascii="宋体" w:hAnsi="宋体" w:eastAsia="宋体" w:cs="宋体"/>
                <w:i w:val="0"/>
                <w:iCs w:val="0"/>
                <w:color w:val="auto"/>
                <w:kern w:val="0"/>
                <w:sz w:val="21"/>
                <w:szCs w:val="21"/>
                <w:highlight w:val="none"/>
                <w:u w:val="none"/>
                <w:lang w:val="en-US" w:eastAsia="zh-CN" w:bidi="ar"/>
              </w:rPr>
              <w:t>计价方式为固定总价，清单子项由投标单位参照，不限于此，各投标人根据具体媒体推广方案自行添加条目进行投报，表格不够可自行延长；但投标种类及数量不得低于清单要求</w:t>
            </w:r>
            <w:r>
              <w:rPr>
                <w:rFonts w:hint="eastAsia" w:ascii="宋体" w:hAnsi="宋体" w:cs="宋体"/>
                <w:i w:val="0"/>
                <w:iCs w:val="0"/>
                <w:color w:val="auto"/>
                <w:kern w:val="0"/>
                <w:sz w:val="21"/>
                <w:szCs w:val="21"/>
                <w:highlight w:val="none"/>
                <w:u w:val="none"/>
                <w:lang w:val="en-US" w:eastAsia="zh-CN" w:bidi="ar"/>
              </w:rPr>
              <w:t>。</w:t>
            </w:r>
          </w:p>
        </w:tc>
      </w:tr>
    </w:tbl>
    <w:p>
      <w:pPr>
        <w:rPr>
          <w:color w:val="auto"/>
          <w:highlight w:val="none"/>
        </w:rPr>
      </w:pPr>
      <w:r>
        <w:rPr>
          <w:color w:val="auto"/>
          <w:highlight w:val="none"/>
        </w:rPr>
        <w:br w:type="page"/>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附表2：渠道拓客费报价清单</w:t>
      </w:r>
    </w:p>
    <w:p>
      <w:pPr>
        <w:spacing w:after="240" w:afterLines="100" w:line="360" w:lineRule="auto"/>
        <w:rPr>
          <w:color w:val="auto"/>
          <w:highlight w:val="none"/>
        </w:rPr>
      </w:pPr>
      <w:r>
        <w:rPr>
          <w:rFonts w:hint="eastAsia" w:ascii="宋体" w:hAnsi="宋体" w:eastAsia="宋体" w:cs="宋体"/>
          <w:color w:val="auto"/>
          <w:szCs w:val="21"/>
          <w:highlight w:val="none"/>
        </w:rPr>
        <w:t>投标人全称（加盖公章）：</w:t>
      </w:r>
    </w:p>
    <w:tbl>
      <w:tblPr>
        <w:tblStyle w:val="41"/>
        <w:tblW w:w="5184" w:type="pct"/>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1902"/>
        <w:gridCol w:w="761"/>
        <w:gridCol w:w="923"/>
        <w:gridCol w:w="659"/>
        <w:gridCol w:w="1468"/>
        <w:gridCol w:w="2128"/>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渠道拓客费报价清单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序号</w:t>
            </w:r>
          </w:p>
        </w:tc>
        <w:tc>
          <w:tcPr>
            <w:tcW w:w="1627" w:type="dxa"/>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项目名称</w:t>
            </w:r>
          </w:p>
        </w:tc>
        <w:tc>
          <w:tcPr>
            <w:tcW w:w="368"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46"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w:t>
            </w:r>
          </w:p>
        </w:tc>
        <w:tc>
          <w:tcPr>
            <w:tcW w:w="1029" w:type="pct"/>
            <w:gridSpan w:val="2"/>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不含税</w:t>
            </w:r>
            <w:r>
              <w:rPr>
                <w:rFonts w:hint="eastAsia" w:ascii="宋体" w:hAnsi="宋体" w:eastAsia="宋体" w:cs="宋体"/>
                <w:b/>
                <w:bCs/>
                <w:i w:val="0"/>
                <w:iCs w:val="0"/>
                <w:color w:val="auto"/>
                <w:kern w:val="0"/>
                <w:sz w:val="21"/>
                <w:szCs w:val="21"/>
                <w:highlight w:val="none"/>
                <w:u w:val="none"/>
                <w:lang w:val="en-US" w:eastAsia="zh-CN" w:bidi="ar"/>
              </w:rPr>
              <w:t>固定单价</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1030" w:type="pct"/>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不含税合价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779" w:type="pct"/>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商超巡展</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社区巡展</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企业巡展</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小蜜蜂等临时兼职</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一</w:t>
            </w:r>
          </w:p>
        </w:tc>
        <w:tc>
          <w:tcPr>
            <w:tcW w:w="92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不含税总价</w:t>
            </w:r>
          </w:p>
        </w:tc>
        <w:tc>
          <w:tcPr>
            <w:tcW w:w="36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46"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29"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0</w:t>
            </w:r>
          </w:p>
        </w:tc>
        <w:tc>
          <w:tcPr>
            <w:tcW w:w="779"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二</w:t>
            </w:r>
          </w:p>
        </w:tc>
        <w:tc>
          <w:tcPr>
            <w:tcW w:w="92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税金</w:t>
            </w:r>
          </w:p>
        </w:tc>
        <w:tc>
          <w:tcPr>
            <w:tcW w:w="36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46"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29"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bidi="ar"/>
              </w:rPr>
              <w:t>0</w:t>
            </w:r>
          </w:p>
        </w:tc>
        <w:tc>
          <w:tcPr>
            <w:tcW w:w="779"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税率</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cs="宋体"/>
                <w:b/>
                <w:bCs/>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三</w:t>
            </w:r>
          </w:p>
        </w:tc>
        <w:tc>
          <w:tcPr>
            <w:tcW w:w="92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含税总价</w:t>
            </w:r>
          </w:p>
        </w:tc>
        <w:tc>
          <w:tcPr>
            <w:tcW w:w="36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46"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29" w:type="pct"/>
            <w:gridSpan w:val="2"/>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30"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bidi="ar"/>
              </w:rPr>
              <w:t>0</w:t>
            </w:r>
          </w:p>
        </w:tc>
        <w:tc>
          <w:tcPr>
            <w:tcW w:w="779"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2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92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6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1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1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0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79"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24" w:type="pct"/>
            <w:tcBorders>
              <w:top w:val="nil"/>
              <w:left w:val="nil"/>
              <w:bottom w:val="nil"/>
              <w:right w:val="nil"/>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备注：</w:t>
            </w:r>
          </w:p>
        </w:tc>
        <w:tc>
          <w:tcPr>
            <w:tcW w:w="4575" w:type="pct"/>
            <w:gridSpan w:val="7"/>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渠道拓客</w:t>
            </w:r>
            <w:r>
              <w:rPr>
                <w:rFonts w:hint="eastAsia" w:ascii="宋体" w:hAnsi="宋体" w:cs="宋体"/>
                <w:i w:val="0"/>
                <w:iCs w:val="0"/>
                <w:color w:val="auto"/>
                <w:kern w:val="0"/>
                <w:sz w:val="21"/>
                <w:szCs w:val="21"/>
                <w:highlight w:val="none"/>
                <w:u w:val="none"/>
                <w:lang w:val="en-US" w:eastAsia="zh-CN" w:bidi="ar"/>
              </w:rPr>
              <w:t>费</w:t>
            </w:r>
            <w:r>
              <w:rPr>
                <w:rFonts w:hint="eastAsia" w:ascii="宋体" w:hAnsi="宋体" w:eastAsia="宋体" w:cs="宋体"/>
                <w:i w:val="0"/>
                <w:iCs w:val="0"/>
                <w:color w:val="auto"/>
                <w:kern w:val="0"/>
                <w:sz w:val="21"/>
                <w:szCs w:val="21"/>
                <w:highlight w:val="none"/>
                <w:u w:val="none"/>
                <w:lang w:val="en-US" w:eastAsia="zh-CN" w:bidi="ar"/>
              </w:rPr>
              <w:t>计价方式为固定单价，根据实际发生数量按实结算；具体要求详见</w:t>
            </w:r>
            <w:r>
              <w:rPr>
                <w:rFonts w:hint="eastAsia" w:ascii="宋体" w:hAnsi="宋体" w:cs="宋体"/>
                <w:i w:val="0"/>
                <w:iCs w:val="0"/>
                <w:color w:val="auto"/>
                <w:kern w:val="0"/>
                <w:sz w:val="21"/>
                <w:szCs w:val="21"/>
                <w:highlight w:val="none"/>
                <w:u w:val="none"/>
                <w:lang w:val="en-US" w:eastAsia="zh-CN" w:bidi="ar"/>
              </w:rPr>
              <w:t>第四章项目需求</w:t>
            </w:r>
            <w:r>
              <w:rPr>
                <w:rFonts w:hint="eastAsia" w:ascii="宋体" w:hAnsi="宋体" w:eastAsia="宋体" w:cs="宋体"/>
                <w:i w:val="0"/>
                <w:iCs w:val="0"/>
                <w:color w:val="auto"/>
                <w:kern w:val="0"/>
                <w:sz w:val="21"/>
                <w:szCs w:val="21"/>
                <w:highlight w:val="none"/>
                <w:u w:val="none"/>
                <w:lang w:val="en-US" w:eastAsia="zh-CN" w:bidi="ar"/>
              </w:rPr>
              <w:t>相关内容。</w:t>
            </w:r>
          </w:p>
        </w:tc>
      </w:tr>
    </w:tbl>
    <w:p>
      <w:pPr>
        <w:rPr>
          <w:color w:val="auto"/>
          <w:highlight w:val="none"/>
        </w:rPr>
      </w:pPr>
    </w:p>
    <w:p>
      <w:pPr>
        <w:rPr>
          <w:color w:val="auto"/>
          <w:highlight w:val="none"/>
        </w:rPr>
      </w:pPr>
      <w:r>
        <w:rPr>
          <w:color w:val="auto"/>
          <w:highlight w:val="none"/>
        </w:rPr>
        <w:br w:type="page"/>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附表3：活动推广费报价清单</w:t>
      </w:r>
    </w:p>
    <w:p>
      <w:pPr>
        <w:spacing w:after="240" w:afterLines="100" w:line="360" w:lineRule="auto"/>
        <w:rPr>
          <w:color w:val="auto"/>
          <w:highlight w:val="none"/>
        </w:rPr>
      </w:pPr>
      <w:r>
        <w:rPr>
          <w:rFonts w:hint="eastAsia" w:ascii="宋体" w:hAnsi="宋体" w:eastAsia="宋体" w:cs="宋体"/>
          <w:color w:val="auto"/>
          <w:szCs w:val="21"/>
          <w:highlight w:val="none"/>
        </w:rPr>
        <w:t>投标人全称（加盖公章）：</w:t>
      </w:r>
    </w:p>
    <w:tbl>
      <w:tblPr>
        <w:tblStyle w:val="41"/>
        <w:tblW w:w="5071" w:type="pct"/>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1785"/>
        <w:gridCol w:w="685"/>
        <w:gridCol w:w="941"/>
        <w:gridCol w:w="2152"/>
        <w:gridCol w:w="1801"/>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活动推广费报价清单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序号</w:t>
            </w:r>
          </w:p>
        </w:tc>
        <w:tc>
          <w:tcPr>
            <w:tcW w:w="883"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项目名称</w:t>
            </w:r>
          </w:p>
        </w:tc>
        <w:tc>
          <w:tcPr>
            <w:tcW w:w="338"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65" w:type="pct"/>
            <w:tcBorders>
              <w:top w:val="single" w:color="auto" w:sz="4" w:space="0"/>
              <w:left w:val="single" w:color="auto" w:sz="4" w:space="0"/>
              <w:bottom w:val="single" w:color="auto" w:sz="4" w:space="0"/>
              <w:right w:val="single" w:color="auto"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w:t>
            </w:r>
          </w:p>
        </w:tc>
        <w:tc>
          <w:tcPr>
            <w:tcW w:w="1064" w:type="pct"/>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不含税</w:t>
            </w:r>
            <w:r>
              <w:rPr>
                <w:rFonts w:hint="eastAsia" w:ascii="宋体" w:hAnsi="宋体" w:eastAsia="宋体" w:cs="宋体"/>
                <w:b/>
                <w:bCs/>
                <w:i w:val="0"/>
                <w:iCs w:val="0"/>
                <w:color w:val="auto"/>
                <w:kern w:val="0"/>
                <w:sz w:val="21"/>
                <w:szCs w:val="21"/>
                <w:highlight w:val="none"/>
                <w:u w:val="none"/>
                <w:lang w:val="en-US" w:eastAsia="zh-CN" w:bidi="ar"/>
              </w:rPr>
              <w:t>固定单价</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891" w:type="pct"/>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不含税</w:t>
            </w:r>
            <w:r>
              <w:rPr>
                <w:rFonts w:hint="eastAsia" w:ascii="宋体" w:hAnsi="宋体" w:eastAsia="宋体" w:cs="宋体"/>
                <w:b/>
                <w:bCs/>
                <w:i w:val="0"/>
                <w:iCs w:val="0"/>
                <w:color w:val="auto"/>
                <w:kern w:val="0"/>
                <w:sz w:val="21"/>
                <w:szCs w:val="21"/>
                <w:highlight w:val="none"/>
                <w:u w:val="none"/>
                <w:lang w:val="en-US" w:eastAsia="zh-CN" w:bidi="ar"/>
              </w:rPr>
              <w:t>总价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元</w:t>
            </w:r>
            <w:r>
              <w:rPr>
                <w:rFonts w:hint="eastAsia" w:ascii="宋体" w:hAnsi="宋体" w:eastAsia="宋体" w:cs="宋体"/>
                <w:b/>
                <w:bCs/>
                <w:i w:val="0"/>
                <w:iCs w:val="0"/>
                <w:color w:val="auto"/>
                <w:kern w:val="0"/>
                <w:sz w:val="21"/>
                <w:szCs w:val="21"/>
                <w:highlight w:val="none"/>
                <w:u w:val="none"/>
                <w:lang w:val="en-US" w:eastAsia="zh-CN" w:bidi="ar"/>
              </w:rPr>
              <w:t>）</w:t>
            </w:r>
          </w:p>
        </w:tc>
        <w:tc>
          <w:tcPr>
            <w:tcW w:w="890" w:type="pct"/>
            <w:tcBorders>
              <w:top w:val="single" w:color="auto" w:sz="4" w:space="0"/>
              <w:left w:val="single" w:color="auto" w:sz="4" w:space="0"/>
              <w:bottom w:val="single" w:color="auto" w:sz="4" w:space="0"/>
              <w:right w:val="single" w:color="auto"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维投地产品牌活动</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板块区位价值论坛</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案名解析会</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售楼处及样板房开放活动</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项目产品说明会</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项目开盘活动</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暖场活动</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圈层活动</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一</w:t>
            </w:r>
          </w:p>
        </w:tc>
        <w:tc>
          <w:tcPr>
            <w:tcW w:w="883"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不含税总价</w:t>
            </w:r>
          </w:p>
        </w:tc>
        <w:tc>
          <w:tcPr>
            <w:tcW w:w="33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6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0</w:t>
            </w:r>
          </w:p>
        </w:tc>
        <w:tc>
          <w:tcPr>
            <w:tcW w:w="890"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二</w:t>
            </w:r>
          </w:p>
        </w:tc>
        <w:tc>
          <w:tcPr>
            <w:tcW w:w="883"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税金</w:t>
            </w:r>
          </w:p>
        </w:tc>
        <w:tc>
          <w:tcPr>
            <w:tcW w:w="33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6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890"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税率</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cs="宋体"/>
                <w:b/>
                <w:bCs/>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三</w:t>
            </w:r>
          </w:p>
        </w:tc>
        <w:tc>
          <w:tcPr>
            <w:tcW w:w="883"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含税总价</w:t>
            </w:r>
          </w:p>
        </w:tc>
        <w:tc>
          <w:tcPr>
            <w:tcW w:w="338"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65"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1064"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891" w:type="pct"/>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890" w:type="pct"/>
            <w:tcBorders>
              <w:top w:val="single" w:color="auto" w:sz="4"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65" w:type="pct"/>
            <w:tcBorders>
              <w:top w:val="single" w:color="auto"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883" w:type="pct"/>
            <w:tcBorders>
              <w:top w:val="single" w:color="auto" w:sz="4" w:space="0"/>
              <w:left w:val="nil"/>
              <w:bottom w:val="nil"/>
              <w:right w:val="nil"/>
            </w:tcBorders>
            <w:shd w:val="clear" w:color="auto" w:fill="auto"/>
            <w:noWrap/>
            <w:vAlign w:val="center"/>
          </w:tcPr>
          <w:p>
            <w:pPr>
              <w:jc w:val="center"/>
              <w:rPr>
                <w:rFonts w:hint="eastAsia" w:ascii="宋体" w:hAnsi="宋体" w:cs="宋体"/>
                <w:b/>
                <w:bCs/>
                <w:i w:val="0"/>
                <w:iCs w:val="0"/>
                <w:color w:val="auto"/>
                <w:kern w:val="0"/>
                <w:sz w:val="21"/>
                <w:szCs w:val="21"/>
                <w:highlight w:val="none"/>
                <w:u w:val="none"/>
                <w:lang w:val="en-US" w:eastAsia="zh-CN" w:bidi="ar"/>
              </w:rPr>
            </w:pPr>
          </w:p>
        </w:tc>
        <w:tc>
          <w:tcPr>
            <w:tcW w:w="338" w:type="pct"/>
            <w:tcBorders>
              <w:top w:val="single" w:color="auto" w:sz="4" w:space="0"/>
              <w:left w:val="nil"/>
              <w:bottom w:val="nil"/>
              <w:right w:val="nil"/>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465" w:type="pct"/>
            <w:tcBorders>
              <w:top w:val="single" w:color="auto" w:sz="4" w:space="0"/>
              <w:left w:val="nil"/>
              <w:bottom w:val="nil"/>
              <w:right w:val="nil"/>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1064" w:type="pct"/>
            <w:tcBorders>
              <w:top w:val="single" w:color="auto" w:sz="4" w:space="0"/>
              <w:left w:val="nil"/>
              <w:bottom w:val="nil"/>
              <w:right w:val="nil"/>
            </w:tcBorders>
            <w:shd w:val="clear" w:color="auto" w:fill="auto"/>
            <w:noWrap/>
            <w:vAlign w:val="center"/>
          </w:tcPr>
          <w:p>
            <w:pPr>
              <w:jc w:val="center"/>
              <w:rPr>
                <w:rFonts w:hint="eastAsia" w:ascii="宋体" w:hAnsi="宋体" w:eastAsia="宋体" w:cs="宋体"/>
                <w:b/>
                <w:bCs/>
                <w:i w:val="0"/>
                <w:iCs w:val="0"/>
                <w:color w:val="auto"/>
                <w:sz w:val="21"/>
                <w:szCs w:val="21"/>
                <w:highlight w:val="none"/>
                <w:u w:val="none"/>
              </w:rPr>
            </w:pPr>
          </w:p>
        </w:tc>
        <w:tc>
          <w:tcPr>
            <w:tcW w:w="891" w:type="pct"/>
            <w:tcBorders>
              <w:top w:val="single" w:color="auto" w:sz="4" w:space="0"/>
              <w:left w:val="nil"/>
              <w:bottom w:val="nil"/>
              <w:right w:val="nil"/>
            </w:tcBorders>
            <w:shd w:val="clear" w:color="auto" w:fill="auto"/>
            <w:noWrap/>
            <w:vAlign w:val="center"/>
          </w:tcPr>
          <w:p>
            <w:pPr>
              <w:jc w:val="center"/>
              <w:rPr>
                <w:rFonts w:hint="eastAsia" w:ascii="宋体" w:hAnsi="宋体" w:cs="宋体"/>
                <w:b/>
                <w:bCs/>
                <w:i w:val="0"/>
                <w:iCs w:val="0"/>
                <w:color w:val="auto"/>
                <w:kern w:val="0"/>
                <w:sz w:val="21"/>
                <w:szCs w:val="21"/>
                <w:highlight w:val="none"/>
                <w:u w:val="none"/>
                <w:lang w:val="en-US" w:eastAsia="zh-CN" w:bidi="ar"/>
              </w:rPr>
            </w:pPr>
          </w:p>
        </w:tc>
        <w:tc>
          <w:tcPr>
            <w:tcW w:w="890" w:type="pct"/>
            <w:tcBorders>
              <w:top w:val="single" w:color="auto" w:sz="4" w:space="0"/>
              <w:left w:val="nil"/>
              <w:bottom w:val="nil"/>
              <w:right w:val="nil"/>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5" w:type="pct"/>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备注：</w:t>
            </w:r>
          </w:p>
        </w:tc>
        <w:tc>
          <w:tcPr>
            <w:tcW w:w="4534" w:type="pct"/>
            <w:gridSpan w:val="6"/>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b/>
                <w:bCs/>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活动推广费</w:t>
            </w:r>
            <w:r>
              <w:rPr>
                <w:rFonts w:hint="eastAsia" w:ascii="宋体" w:hAnsi="宋体" w:eastAsia="宋体" w:cs="宋体"/>
                <w:i w:val="0"/>
                <w:iCs w:val="0"/>
                <w:color w:val="auto"/>
                <w:kern w:val="0"/>
                <w:sz w:val="21"/>
                <w:szCs w:val="21"/>
                <w:highlight w:val="none"/>
                <w:u w:val="none"/>
                <w:lang w:val="en-US" w:eastAsia="zh-CN" w:bidi="ar"/>
              </w:rPr>
              <w:t>计价方式为固定单价，根据实际发生数量按实结算；具体要求详见</w:t>
            </w:r>
            <w:r>
              <w:rPr>
                <w:rFonts w:hint="eastAsia" w:ascii="宋体" w:hAnsi="宋体" w:cs="宋体"/>
                <w:i w:val="0"/>
                <w:iCs w:val="0"/>
                <w:color w:val="auto"/>
                <w:kern w:val="0"/>
                <w:sz w:val="21"/>
                <w:szCs w:val="21"/>
                <w:highlight w:val="none"/>
                <w:u w:val="none"/>
                <w:lang w:val="en-US" w:eastAsia="zh-CN" w:bidi="ar"/>
              </w:rPr>
              <w:t>第四章项目需求</w:t>
            </w:r>
            <w:r>
              <w:rPr>
                <w:rFonts w:hint="eastAsia" w:ascii="宋体" w:hAnsi="宋体" w:eastAsia="宋体" w:cs="宋体"/>
                <w:i w:val="0"/>
                <w:iCs w:val="0"/>
                <w:color w:val="auto"/>
                <w:kern w:val="0"/>
                <w:sz w:val="21"/>
                <w:szCs w:val="21"/>
                <w:highlight w:val="none"/>
                <w:u w:val="none"/>
                <w:lang w:val="en-US" w:eastAsia="zh-CN" w:bidi="ar"/>
              </w:rPr>
              <w:t>相关内容。</w:t>
            </w:r>
          </w:p>
        </w:tc>
      </w:tr>
    </w:tbl>
    <w:p>
      <w:pPr>
        <w:rPr>
          <w:color w:val="auto"/>
          <w:highlight w:val="none"/>
        </w:rPr>
      </w:pPr>
      <w:r>
        <w:rPr>
          <w:color w:val="auto"/>
          <w:highlight w:val="none"/>
        </w:rPr>
        <w:br w:type="page"/>
      </w: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附表4：营销物料制作费报价清单</w:t>
      </w:r>
    </w:p>
    <w:p>
      <w:pPr>
        <w:spacing w:after="240" w:afterLines="100" w:line="360" w:lineRule="auto"/>
        <w:rPr>
          <w:color w:val="auto"/>
          <w:highlight w:val="none"/>
        </w:rPr>
      </w:pPr>
      <w:r>
        <w:rPr>
          <w:rFonts w:hint="eastAsia" w:ascii="宋体" w:hAnsi="宋体" w:eastAsia="宋体" w:cs="宋体"/>
          <w:color w:val="auto"/>
          <w:szCs w:val="21"/>
          <w:highlight w:val="none"/>
        </w:rPr>
        <w:t>投标人全称（加盖公章）：</w:t>
      </w:r>
    </w:p>
    <w:tbl>
      <w:tblPr>
        <w:tblStyle w:val="41"/>
        <w:tblW w:w="54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786"/>
        <w:gridCol w:w="778"/>
        <w:gridCol w:w="791"/>
        <w:gridCol w:w="1445"/>
        <w:gridCol w:w="1541"/>
        <w:gridCol w:w="1064"/>
        <w:gridCol w:w="2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营销物料制作费报价清单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序号</w:t>
            </w:r>
          </w:p>
        </w:tc>
        <w:tc>
          <w:tcPr>
            <w:tcW w:w="829" w:type="pct"/>
            <w:tcBorders>
              <w:top w:val="single" w:color="000000"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项目名称</w:t>
            </w:r>
          </w:p>
        </w:tc>
        <w:tc>
          <w:tcPr>
            <w:tcW w:w="361"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67"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w:t>
            </w:r>
          </w:p>
        </w:tc>
        <w:tc>
          <w:tcPr>
            <w:tcW w:w="670"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上限控制</w:t>
            </w:r>
          </w:p>
          <w:p>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（不含税）</w:t>
            </w:r>
          </w:p>
        </w:tc>
        <w:tc>
          <w:tcPr>
            <w:tcW w:w="715"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单价依据</w:t>
            </w:r>
          </w:p>
        </w:tc>
        <w:tc>
          <w:tcPr>
            <w:tcW w:w="494"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投标下浮率</w:t>
            </w:r>
          </w:p>
        </w:tc>
        <w:tc>
          <w:tcPr>
            <w:tcW w:w="1235" w:type="pct"/>
            <w:tcBorders>
              <w:top w:val="single" w:color="auto" w:sz="4" w:space="0"/>
              <w:left w:val="single" w:color="000000" w:sz="4" w:space="0"/>
              <w:bottom w:val="single" w:color="000000" w:sz="4" w:space="0"/>
              <w:right w:val="single" w:color="000000" w:sz="4" w:space="0"/>
            </w:tcBorders>
            <w:shd w:val="clear" w:color="auto" w:fill="D2F4F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开办印刷品制作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47000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《印刷类采购清单基准价》</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w:t>
            </w: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月度印刷品制作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28000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《印刷类采购清单基准价》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开办礼品制作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57000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《礼品类采购清单基准价》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月度礼品制作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28000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《礼品类采购清单基准价》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首开包装制作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57000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《制作类采购清单基准价》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月度包装制作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19000</w:t>
            </w:r>
            <w:r>
              <w:rPr>
                <w:rFonts w:hint="eastAsia" w:ascii="宋体" w:hAnsi="宋体" w:eastAsia="宋体" w:cs="宋体"/>
                <w:i w:val="0"/>
                <w:iCs w:val="0"/>
                <w:color w:val="auto"/>
                <w:kern w:val="0"/>
                <w:sz w:val="21"/>
                <w:szCs w:val="21"/>
                <w:highlight w:val="none"/>
                <w:u w:val="none"/>
                <w:lang w:val="en-US" w:eastAsia="zh-CN" w:bidi="ar"/>
              </w:rPr>
              <w:t>元/月</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《制作类采购清单基准价》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围挡制作</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236000</w:t>
            </w:r>
            <w:r>
              <w:rPr>
                <w:rFonts w:hint="eastAsia" w:ascii="宋体" w:hAnsi="宋体" w:eastAsia="宋体" w:cs="宋体"/>
                <w:i w:val="0"/>
                <w:iCs w:val="0"/>
                <w:color w:val="auto"/>
                <w:kern w:val="0"/>
                <w:sz w:val="21"/>
                <w:szCs w:val="21"/>
                <w:highlight w:val="none"/>
                <w:u w:val="none"/>
                <w:lang w:val="en-US" w:eastAsia="zh-CN" w:bidi="ar"/>
              </w:rPr>
              <w:t>元/次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《制作类采购清单基准价》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1"/>
                <w:szCs w:val="21"/>
                <w:highlight w:val="none"/>
                <w:u w:val="single"/>
              </w:rPr>
            </w:pPr>
          </w:p>
        </w:tc>
        <w:tc>
          <w:tcPr>
            <w:tcW w:w="1235"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rPr>
              <w:t>一</w:t>
            </w:r>
          </w:p>
        </w:tc>
        <w:tc>
          <w:tcPr>
            <w:tcW w:w="829"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不含税总价</w:t>
            </w:r>
          </w:p>
        </w:tc>
        <w:tc>
          <w:tcPr>
            <w:tcW w:w="361"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1035000</w:t>
            </w:r>
          </w:p>
        </w:tc>
        <w:tc>
          <w:tcPr>
            <w:tcW w:w="71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0</w:t>
            </w:r>
          </w:p>
        </w:tc>
        <w:tc>
          <w:tcPr>
            <w:tcW w:w="1235" w:type="pct"/>
            <w:tcBorders>
              <w:top w:val="single" w:color="000000" w:sz="4" w:space="0"/>
              <w:left w:val="nil"/>
              <w:bottom w:val="nil"/>
              <w:right w:val="single" w:color="000000" w:sz="4" w:space="0"/>
            </w:tcBorders>
            <w:shd w:val="clear" w:color="auto" w:fill="FDEADA" w:themeFill="accent6" w:themeFillTint="32"/>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1035000</w:t>
            </w:r>
            <w:r>
              <w:rPr>
                <w:rFonts w:hint="eastAsia" w:ascii="宋体" w:hAnsi="宋体" w:eastAsia="宋体" w:cs="宋体"/>
                <w:b/>
                <w:bCs/>
                <w:i w:val="0"/>
                <w:iCs w:val="0"/>
                <w:color w:val="auto"/>
                <w:kern w:val="0"/>
                <w:sz w:val="21"/>
                <w:szCs w:val="21"/>
                <w:highlight w:val="none"/>
                <w:u w:val="none"/>
                <w:lang w:val="en-US" w:eastAsia="zh-CN" w:bidi="ar"/>
              </w:rPr>
              <w:t>*（1-投标下浮率）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二</w:t>
            </w:r>
          </w:p>
        </w:tc>
        <w:tc>
          <w:tcPr>
            <w:tcW w:w="829"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税金</w:t>
            </w:r>
          </w:p>
        </w:tc>
        <w:tc>
          <w:tcPr>
            <w:tcW w:w="361" w:type="pct"/>
            <w:tcBorders>
              <w:top w:val="single" w:color="000000" w:sz="4" w:space="0"/>
              <w:left w:val="nil"/>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670" w:type="pct"/>
            <w:tcBorders>
              <w:top w:val="nil"/>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i w:val="0"/>
                <w:iCs w:val="0"/>
                <w:color w:val="auto"/>
                <w:sz w:val="21"/>
                <w:szCs w:val="21"/>
                <w:highlight w:val="none"/>
                <w:u w:val="none"/>
              </w:rPr>
            </w:pPr>
          </w:p>
        </w:tc>
        <w:tc>
          <w:tcPr>
            <w:tcW w:w="715" w:type="pct"/>
            <w:tcBorders>
              <w:top w:val="nil"/>
              <w:left w:val="single" w:color="000000" w:sz="4" w:space="0"/>
              <w:bottom w:val="single" w:color="000000" w:sz="4" w:space="0"/>
              <w:right w:val="nil"/>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494" w:type="pct"/>
            <w:tcBorders>
              <w:top w:val="single" w:color="000000" w:sz="4" w:space="0"/>
              <w:left w:val="single" w:color="000000" w:sz="4" w:space="0"/>
              <w:bottom w:val="single" w:color="000000" w:sz="4" w:space="0"/>
              <w:right w:val="nil"/>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123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jc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税率</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cs="宋体"/>
                <w:b/>
                <w:bCs/>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三</w:t>
            </w:r>
          </w:p>
        </w:tc>
        <w:tc>
          <w:tcPr>
            <w:tcW w:w="829"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含税总价</w:t>
            </w:r>
          </w:p>
        </w:tc>
        <w:tc>
          <w:tcPr>
            <w:tcW w:w="361" w:type="pct"/>
            <w:tcBorders>
              <w:top w:val="single" w:color="000000" w:sz="4" w:space="0"/>
              <w:left w:val="nil"/>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b/>
                <w:bCs/>
                <w:i w:val="0"/>
                <w:iCs w:val="0"/>
                <w:color w:val="auto"/>
                <w:sz w:val="21"/>
                <w:szCs w:val="21"/>
                <w:highlight w:val="none"/>
                <w:u w:val="none"/>
              </w:rPr>
            </w:pPr>
          </w:p>
        </w:tc>
        <w:tc>
          <w:tcPr>
            <w:tcW w:w="670" w:type="pct"/>
            <w:tcBorders>
              <w:top w:val="nil"/>
              <w:left w:val="single" w:color="000000" w:sz="4" w:space="0"/>
              <w:bottom w:val="single" w:color="000000" w:sz="4" w:space="0"/>
              <w:right w:val="single" w:color="000000" w:sz="4" w:space="0"/>
            </w:tcBorders>
            <w:shd w:val="clear" w:color="auto" w:fill="FDEADA" w:themeFill="accent6" w:themeFillTint="32"/>
            <w:noWrap/>
            <w:vAlign w:val="center"/>
          </w:tcPr>
          <w:p>
            <w:pPr>
              <w:jc w:val="center"/>
              <w:rPr>
                <w:rFonts w:hint="eastAsia" w:ascii="宋体" w:hAnsi="宋体" w:eastAsia="宋体" w:cs="宋体"/>
                <w:i w:val="0"/>
                <w:iCs w:val="0"/>
                <w:color w:val="auto"/>
                <w:sz w:val="21"/>
                <w:szCs w:val="21"/>
                <w:highlight w:val="none"/>
                <w:u w:val="none"/>
              </w:rPr>
            </w:pPr>
          </w:p>
        </w:tc>
        <w:tc>
          <w:tcPr>
            <w:tcW w:w="715" w:type="pct"/>
            <w:tcBorders>
              <w:top w:val="nil"/>
              <w:left w:val="single" w:color="000000" w:sz="4" w:space="0"/>
              <w:bottom w:val="single" w:color="000000" w:sz="4" w:space="0"/>
              <w:right w:val="nil"/>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494" w:type="pct"/>
            <w:tcBorders>
              <w:top w:val="single" w:color="000000" w:sz="4" w:space="0"/>
              <w:left w:val="single" w:color="000000" w:sz="4" w:space="0"/>
              <w:bottom w:val="single" w:color="000000" w:sz="4" w:space="0"/>
              <w:right w:val="nil"/>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0</w:t>
            </w:r>
          </w:p>
        </w:tc>
        <w:tc>
          <w:tcPr>
            <w:tcW w:w="1235" w:type="pct"/>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jc w:val="center"/>
              <w:rPr>
                <w:rFonts w:hint="default" w:ascii="宋体" w:hAnsi="宋体" w:eastAsia="宋体" w:cs="宋体"/>
                <w:b/>
                <w:bCs/>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32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8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6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6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7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1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49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35"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2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备注：</w:t>
            </w:r>
          </w:p>
        </w:tc>
        <w:tc>
          <w:tcPr>
            <w:tcW w:w="4674" w:type="pct"/>
            <w:gridSpan w:val="7"/>
            <w:tcBorders>
              <w:top w:val="nil"/>
              <w:left w:val="nil"/>
              <w:bottom w:val="nil"/>
              <w:right w:val="nil"/>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营销物料制作</w:t>
            </w:r>
            <w:r>
              <w:rPr>
                <w:rFonts w:hint="eastAsia" w:ascii="宋体" w:hAnsi="宋体" w:cs="宋体"/>
                <w:i w:val="0"/>
                <w:iCs w:val="0"/>
                <w:color w:val="auto"/>
                <w:kern w:val="0"/>
                <w:sz w:val="21"/>
                <w:szCs w:val="21"/>
                <w:highlight w:val="none"/>
                <w:u w:val="none"/>
                <w:lang w:val="en-US" w:eastAsia="zh-CN" w:bidi="ar"/>
              </w:rPr>
              <w:t>费</w:t>
            </w:r>
            <w:r>
              <w:rPr>
                <w:rFonts w:hint="eastAsia" w:ascii="宋体" w:hAnsi="宋体" w:eastAsia="宋体" w:cs="宋体"/>
                <w:i w:val="0"/>
                <w:iCs w:val="0"/>
                <w:color w:val="auto"/>
                <w:kern w:val="0"/>
                <w:sz w:val="21"/>
                <w:szCs w:val="21"/>
                <w:highlight w:val="none"/>
                <w:u w:val="none"/>
                <w:lang w:val="en-US" w:eastAsia="zh-CN" w:bidi="ar"/>
              </w:rPr>
              <w:t>计价方式为固定单价，合同实际履行中，按每批次采购需求品类、数量及投标单价确定每批次实际采购费用（详见清单附表），投标人按清单要求填报下浮率，</w:t>
            </w:r>
            <w:r>
              <w:rPr>
                <w:rFonts w:hint="eastAsia" w:ascii="宋体" w:hAnsi="宋体" w:eastAsia="宋体" w:cs="宋体"/>
                <w:b/>
                <w:bCs/>
                <w:i w:val="0"/>
                <w:iCs w:val="0"/>
                <w:color w:val="auto"/>
                <w:kern w:val="0"/>
                <w:sz w:val="21"/>
                <w:szCs w:val="21"/>
                <w:highlight w:val="none"/>
                <w:u w:val="none"/>
                <w:lang w:val="en-US" w:eastAsia="zh-CN" w:bidi="ar"/>
              </w:rPr>
              <w:t>营销物料制作投标单价=清单附表基准价×（1-投标下浮率）</w:t>
            </w: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32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auto"/>
                <w:sz w:val="21"/>
                <w:szCs w:val="21"/>
                <w:highlight w:val="none"/>
                <w:u w:val="none"/>
              </w:rPr>
            </w:pPr>
          </w:p>
        </w:tc>
        <w:tc>
          <w:tcPr>
            <w:tcW w:w="4674" w:type="pct"/>
            <w:gridSpan w:val="7"/>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营销物料制作清单附表中有相同项目时，直接套用附表中的相同项目的单价；清单附表中没有相同项目但有相似的项目时，参照清单附表中相似项目的单价确定；清单附表中没有适用或类似项目的价格，由乙方按市场价上报甲方审核确认后执行。</w:t>
            </w:r>
          </w:p>
        </w:tc>
      </w:tr>
    </w:tbl>
    <w:p>
      <w:pPr>
        <w:pStyle w:val="6"/>
        <w:rPr>
          <w:color w:val="auto"/>
          <w:highlight w:val="none"/>
        </w:rPr>
      </w:pPr>
    </w:p>
    <w:p>
      <w:pPr>
        <w:pStyle w:val="9"/>
        <w:rPr>
          <w:color w:val="auto"/>
          <w:highlight w:val="none"/>
        </w:rPr>
      </w:pPr>
    </w:p>
    <w:p>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br w:type="page"/>
      </w:r>
    </w:p>
    <w:p>
      <w:pPr>
        <w:pStyle w:val="7"/>
        <w:ind w:left="0" w:leftChars="0" w:firstLine="0" w:firstLineChars="0"/>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清单附表</w:t>
      </w:r>
      <w:r>
        <w:rPr>
          <w:rFonts w:hint="eastAsia" w:ascii="宋体" w:hAnsi="宋体" w:cs="宋体"/>
          <w:i w:val="0"/>
          <w:iCs w:val="0"/>
          <w:color w:val="auto"/>
          <w:kern w:val="0"/>
          <w:sz w:val="18"/>
          <w:szCs w:val="18"/>
          <w:highlight w:val="none"/>
          <w:u w:val="none"/>
          <w:lang w:val="en-US" w:eastAsia="zh-CN" w:bidi="ar"/>
        </w:rPr>
        <w:t>4-1</w:t>
      </w:r>
      <w:r>
        <w:rPr>
          <w:rFonts w:hint="eastAsia" w:ascii="宋体" w:hAnsi="宋体" w:eastAsia="宋体" w:cs="宋体"/>
          <w:i w:val="0"/>
          <w:iCs w:val="0"/>
          <w:color w:val="auto"/>
          <w:kern w:val="0"/>
          <w:sz w:val="18"/>
          <w:szCs w:val="18"/>
          <w:highlight w:val="none"/>
          <w:u w:val="none"/>
          <w:lang w:val="en-US" w:eastAsia="zh-CN" w:bidi="ar"/>
        </w:rPr>
        <w:t>：印刷类采购清单</w:t>
      </w:r>
      <w:r>
        <w:rPr>
          <w:rFonts w:hint="eastAsia" w:ascii="宋体" w:hAnsi="宋体" w:cs="宋体"/>
          <w:i w:val="0"/>
          <w:iCs w:val="0"/>
          <w:color w:val="auto"/>
          <w:kern w:val="0"/>
          <w:sz w:val="18"/>
          <w:szCs w:val="18"/>
          <w:highlight w:val="none"/>
          <w:u w:val="none"/>
          <w:lang w:val="en-US" w:eastAsia="zh-CN" w:bidi="ar"/>
        </w:rPr>
        <w:t>基准价</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2595"/>
        <w:gridCol w:w="1566"/>
        <w:gridCol w:w="666"/>
        <w:gridCol w:w="2318"/>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印刷类采购清单基准价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物料名称</w:t>
            </w:r>
          </w:p>
        </w:tc>
        <w:tc>
          <w:tcPr>
            <w:tcW w:w="1303"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材质</w:t>
            </w:r>
          </w:p>
        </w:tc>
        <w:tc>
          <w:tcPr>
            <w:tcW w:w="785"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334"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份数</w:t>
            </w:r>
          </w:p>
        </w:tc>
        <w:tc>
          <w:tcPr>
            <w:tcW w:w="1164"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工艺</w:t>
            </w:r>
          </w:p>
        </w:tc>
        <w:tc>
          <w:tcPr>
            <w:tcW w:w="698" w:type="pct"/>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基准价</w:t>
            </w:r>
          </w:p>
          <w:p>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不含税综合单价</w:t>
            </w:r>
            <w:r>
              <w:rPr>
                <w:rFonts w:hint="eastAsia" w:ascii="宋体" w:hAnsi="宋体" w:eastAsia="宋体" w:cs="宋体"/>
                <w:b/>
                <w:bCs/>
                <w:i w:val="0"/>
                <w:iCs w:val="0"/>
                <w:color w:val="auto"/>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157g哑粉</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200g哑粉</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157g铜板</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200g铜板</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157g哑粉</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200g哑粉</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157g铜板</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200g铜板</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海报</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写真、光膜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写真、光膜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写真、光膜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写真、光膜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写真、不覆膜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写真、不覆膜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写真、不覆膜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800*600mm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写真、不覆膜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户型单页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200g白卡</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210*285mm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彩色印届</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250g铜板/哑粉纸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180*270/180*280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双面四色/无特殊工艺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二折页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250g铜板/哑粉纸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360*280/80*300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三折页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250g铜板/哑粉纸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570*285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四折页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250g铜板</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展开720*320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展开720*320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展开720*320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四折页</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200g哑粉</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展开640*285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 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展开640*285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展开640*285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正面复哑膜压痕，折页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合同封面</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250g哑粉</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430*305cm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单页对折，单面印，覆亚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膜，折成品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单页对折，单面印，覆亚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膜，折成品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单页对折，单面印，覆亚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膜，折成品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单页对折，单面印，覆亚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膜，折成品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二联单</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套号复写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三联单</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套号复写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VIP卡</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85*54mm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彩色、磁条、打码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纸杯</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286g淋膜纸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9盎司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275g淋膜纸</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手拎袋</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250g白卡</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42*8*30cm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彩色印刷、哑膜、双面logo烫哑金、银白色三股绳</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250g白卡</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42*12*27cm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彩色印刷、哑膜、双面logo烫哑金、银白色三股绳</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手拎袋</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250g铜版纸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42*8*30cm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250g铜版纸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42*8*30cm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无纺布袋</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90g无纺布(横版)</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42*12*27cm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彩色印刷1-2色</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90g无纺布(竖版)</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41*12*35cm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彩色印刷1-3色</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名片</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285g铜版/哑粉纸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90*50mm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双铜+4C+复膜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285g银白星幻</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90*50mm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250g白卡</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90*50mm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小信封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100g双胶</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220*110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9号信封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120g双胶</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大信封</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180g格拉斯艺术纸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250*340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档案袋</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180g进口白牛皮</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240*340*30mm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档案袋</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240g格拉斯艺术纸</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240*340*30mm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号码牌</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不干胶</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60mm直径圆</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彩色印刷、模切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缴款通知单</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三联无碳复写4色套号码</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210*140mm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单色印刷、编码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纸巾盒</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250g白卡+清风抽纸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120*120*50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单面四色+哑膜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120*120*50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阳光宣言</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157g双铜</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115*250(h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压痕四折页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109*250(h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阳光宣言</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157g铜版纸</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675*255mm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五折页四色切成品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临时管理规约</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封面160q绿色艺术纸，内贡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120q双胶</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骑马订装，20p210*285mm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临时管理规约</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封面160克绿色纸，内页100克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双胶，起码订</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骑马订装，16p210*285mm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认购协议书</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无碳复写</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一式四联有序号 50份/本</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一式四联有序号 50份/本</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明信片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320g玲珑纯白</w:t>
            </w:r>
          </w:p>
        </w:tc>
        <w:tc>
          <w:tcPr>
            <w:tcW w:w="7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正反4C印刷148*100(h)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抽奖券</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215g新伯爵</w:t>
            </w:r>
          </w:p>
        </w:tc>
        <w:tc>
          <w:tcPr>
            <w:tcW w:w="7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正反4C印刷，号码，压虚线210*70(h)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门挂卡</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300g铜板纸</w:t>
            </w:r>
          </w:p>
        </w:tc>
        <w:tc>
          <w:tcPr>
            <w:tcW w:w="7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正反4C印刷，亚膜，模切148*285(h)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贴纸</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不干胶</w:t>
            </w:r>
          </w:p>
        </w:tc>
        <w:tc>
          <w:tcPr>
            <w:tcW w:w="7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四色，异性模切130*130(h)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停车卡</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300g铜板纸</w:t>
            </w:r>
          </w:p>
        </w:tc>
        <w:tc>
          <w:tcPr>
            <w:tcW w:w="7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正反4C印刷，亚膜，模切300*100(h)</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抽奖券</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250g铜版纸</w:t>
            </w:r>
          </w:p>
        </w:tc>
        <w:tc>
          <w:tcPr>
            <w:tcW w:w="78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带蚂蚁线连号15*8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认购协议书</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A4三联无碳复写3色套号码</w:t>
            </w:r>
          </w:p>
        </w:tc>
        <w:tc>
          <w:tcPr>
            <w:tcW w:w="78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A4横版</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50份(一式3联)本</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50份(一式3联)本</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特别提示备忘录</w:t>
            </w:r>
          </w:p>
        </w:tc>
        <w:tc>
          <w:tcPr>
            <w:tcW w:w="130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A4二联无碳复写2色套号码</w:t>
            </w:r>
          </w:p>
        </w:tc>
        <w:tc>
          <w:tcPr>
            <w:tcW w:w="785"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A4竖版</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64" w:type="pct"/>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vMerge w:val="continue"/>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3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64" w:type="pct"/>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扑克牌</w:t>
            </w:r>
          </w:p>
        </w:tc>
        <w:tc>
          <w:tcPr>
            <w:tcW w:w="1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白卡纸扑克尺寸87*57mm,扑克牌外壳尺寸59*89*16.5mm</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四色印刷，280g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四色印刷，300g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300给，蓝心纸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r>
    </w:tbl>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spacing w:after="312" w:afterLines="100" w:line="360" w:lineRule="auto"/>
        <w:jc w:val="both"/>
        <w:rPr>
          <w:rFonts w:hint="eastAsia" w:ascii="宋体" w:hAnsi="宋体" w:cs="宋体"/>
          <w:b/>
          <w:color w:val="auto"/>
          <w:szCs w:val="21"/>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清单附表</w:t>
      </w:r>
      <w:r>
        <w:rPr>
          <w:rFonts w:hint="eastAsia" w:ascii="宋体" w:hAnsi="宋体" w:cs="宋体"/>
          <w:i w:val="0"/>
          <w:iCs w:val="0"/>
          <w:color w:val="auto"/>
          <w:kern w:val="0"/>
          <w:sz w:val="18"/>
          <w:szCs w:val="18"/>
          <w:highlight w:val="none"/>
          <w:u w:val="none"/>
          <w:lang w:val="en-US" w:eastAsia="zh-CN" w:bidi="ar"/>
        </w:rPr>
        <w:t>4-2</w:t>
      </w:r>
      <w:r>
        <w:rPr>
          <w:rFonts w:hint="eastAsia" w:ascii="宋体" w:hAnsi="宋体" w:eastAsia="宋体" w:cs="宋体"/>
          <w:i w:val="0"/>
          <w:iCs w:val="0"/>
          <w:color w:val="auto"/>
          <w:kern w:val="0"/>
          <w:sz w:val="18"/>
          <w:szCs w:val="18"/>
          <w:highlight w:val="none"/>
          <w:u w:val="none"/>
          <w:lang w:val="en-US" w:eastAsia="zh-CN" w:bidi="ar"/>
        </w:rPr>
        <w:t>：礼品类采购清单</w:t>
      </w:r>
      <w:r>
        <w:rPr>
          <w:rFonts w:hint="eastAsia" w:ascii="宋体" w:hAnsi="宋体" w:cs="宋体"/>
          <w:i w:val="0"/>
          <w:iCs w:val="0"/>
          <w:color w:val="auto"/>
          <w:kern w:val="0"/>
          <w:sz w:val="18"/>
          <w:szCs w:val="18"/>
          <w:highlight w:val="none"/>
          <w:u w:val="none"/>
          <w:lang w:val="en-US" w:eastAsia="zh-CN" w:bidi="ar"/>
        </w:rPr>
        <w:t>基准价</w:t>
      </w:r>
    </w:p>
    <w:tbl>
      <w:tblPr>
        <w:tblStyle w:val="4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750"/>
        <w:gridCol w:w="4387"/>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4"/>
            <w:tcBorders>
              <w:top w:val="nil"/>
              <w:left w:val="nil"/>
              <w:bottom w:val="single" w:color="auto" w:sz="4" w:space="0"/>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礼品类采购清单基准价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4"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380"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2202"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工艺（建议）</w:t>
            </w:r>
          </w:p>
        </w:tc>
        <w:tc>
          <w:tcPr>
            <w:tcW w:w="200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基准价</w:t>
            </w:r>
          </w:p>
          <w:p>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不含税综合单价</w:t>
            </w:r>
            <w:r>
              <w:rPr>
                <w:rFonts w:hint="eastAsia" w:ascii="宋体" w:hAnsi="宋体" w:eastAsia="宋体" w:cs="宋体"/>
                <w:b/>
                <w:bCs/>
                <w:i w:val="0"/>
                <w:iCs w:val="0"/>
                <w:color w:val="auto"/>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8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指甲钳套装</w:t>
            </w:r>
          </w:p>
        </w:tc>
        <w:tc>
          <w:tcPr>
            <w:tcW w:w="220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碳钢电镀、不锈钢、PVC皮革</w:t>
            </w:r>
          </w:p>
        </w:tc>
        <w:tc>
          <w:tcPr>
            <w:tcW w:w="100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定制中性笔</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本笔套装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A5仿皮面笔记本+签字笔</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包枕</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可定制</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数据线</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三合一 可定制</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防风打火机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单色丝印LOGo</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马克杯</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口径9cm，高8cm</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U盘</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USB3.0接口，32G，包装盒。</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充电宝</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10000毫安，Type-C双向快充22.5W</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保温杯</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304不锈钢，400-500ML，带屏显</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盒装毛巾</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单条装，带拎盒，可印logo</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小狗折叠毛巾</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刻印logo</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便携手电筒</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18650电池，LED，可充电</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小夜灯</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可定制</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保鲜盒套装（餐盒）</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保温袋+2餐盒+叉筷</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帆布袋</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尺寸：35X38Cm,材质：12安，双面彩印</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碗筷套装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2碗2筷，带拎盒</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招财猫摆件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尺寸：11.5*10*11.5cm</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定制重力车载手机支架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重力车载支架，空调口夹，铝合金</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重力车载手机支架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重力车载支架，磁吸款</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定制茶具套装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家纺四件套</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全棉，可定制</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空调被</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乳胶枕</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定制雨伞</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文创类</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定制雨伞（短柄）</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钢笔礼盒</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英雄牌</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多功能养生壶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小米75寸，120Hz高刷 2+32GB大存储 4K金属全面屏 </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冰箱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海尔（Haier）500升十字对开双开</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米家冰箱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十字四门尊享版550L</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洗衣机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海尔（Haier）滚筒洗衣机全自动</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小米滚筒干衣机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10公斤家用除菌香氛全自动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米家智能蒸烤箱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米家智能蒸烤箱 20L 家用蒸烤空气炸三合一</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小米家电烤箱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家用小型</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足浴桶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米家小米泡脚桶全自动恒温加热按摩</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小米米家扫地机器人2Pro智能家用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小米米家扫地机器人2C</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吹风机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米家小米高速吹风机H501 温柔小飓风 负离子护发</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米家空气净化器4 Pro</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小米即热净水器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Q600家用直饮机RO</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小米净水器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800G直饮机智能家用RO</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落地风扇</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手持电风扇</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定制款</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手持扇</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礼盒</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定制广告扇</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电磁炉</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美的</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小米米家电饭煲</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IH4L</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米家智能电饭煲</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C13L</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小米音箱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小米AI音箱 第二代 </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Redmi小爱触屏音箱</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8英寸触屏音箱</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Redmi 蓝牙音箱play</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牙刷</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小米，四挡，4支刷头</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体重秤</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小米米家智能除菌加湿器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4.5L家用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小米米家加湿器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4L家用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破壁机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小米米家智能破壁机</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榨汁机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胶囊咖啡机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鼠标垫</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汽车遮阳伞</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汽车遮阳挡</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定制T恤</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定制雨衣</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定制围裙</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小米米家手持挂烫机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电饼铛</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电炖锅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吐司机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电热水壶套装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小米电水壶</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1A</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计算器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商务套装礼盒</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名片盒、钥匙扣、笔等</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小米空调</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立式冷暖两用3匹</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小米米家新风空调</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1.5匹挂机新1级家用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小米米家激光投影仪</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1s 4k超清家庭影院</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小米笔记本</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Pro x 14官网学习办公商务游戏电脑轻薄本</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小米MIX4 CPU</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全面屏骁龙888Plus智能拍照手机</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小米米家高温无线洗地机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洗拖一体</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小米米家洗碗机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智能8套全自动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米兔儿童手表4</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米兔儿童手表5X </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Redmi Watch 2</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小米手环6NFC版</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小米手环5</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小米降噪项圈蓝牙耳机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小米活塞耳机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基础版</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小米真无线蓝牙耳机 </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Air 2 SE</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小米米家智能电压力锅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5L</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小米米家智能电压力锅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2.5L</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小米米家除螨仪</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小米米家除螨仪</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有线</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小米米家手持有线吸尘器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手持有线吸尘器</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小米米家智能宠物自动喂食器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小米米家智能空气炸锅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小米米家即热式饮水机台式</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小米米家智能宠物饮水机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Redmi Buds 3</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米家知吾不粘炒锅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米家知吾煮汤锅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小米米家智能小煮锅</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小米米家桌面式暖风机</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小米米家随行便携榨汁杯</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小米米家毛球修剪器</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矿泉水（含定制贴纸）</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r>
    </w:tbl>
    <w:p>
      <w:pPr>
        <w:pStyle w:val="2"/>
        <w:ind w:left="0" w:leftChars="0" w:firstLine="0" w:firstLineChars="0"/>
        <w:rPr>
          <w:rFonts w:hint="default"/>
          <w:lang w:val="en-US" w:eastAsia="zh-CN"/>
        </w:rPr>
      </w:pPr>
      <w:r>
        <w:rPr>
          <w:rFonts w:hint="eastAsia"/>
          <w:lang w:val="en-US" w:eastAsia="zh-CN"/>
        </w:rPr>
        <w:t>注：清单内品牌为参考，投标及实际采购时可选用同档次产品，但不得低于清单内品牌档次。</w:t>
      </w:r>
    </w:p>
    <w:p>
      <w:pPr>
        <w:pStyle w:val="7"/>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Cs w:val="21"/>
          <w:highlight w:val="none"/>
        </w:rPr>
        <w:br w:type="page"/>
      </w:r>
      <w:r>
        <w:rPr>
          <w:rFonts w:hint="eastAsia" w:ascii="宋体" w:hAnsi="宋体" w:eastAsia="宋体" w:cs="宋体"/>
          <w:i w:val="0"/>
          <w:iCs w:val="0"/>
          <w:color w:val="auto"/>
          <w:kern w:val="0"/>
          <w:sz w:val="18"/>
          <w:szCs w:val="18"/>
          <w:highlight w:val="none"/>
          <w:u w:val="none"/>
          <w:lang w:val="en-US" w:eastAsia="zh-CN" w:bidi="ar"/>
        </w:rPr>
        <w:t>清单附表</w:t>
      </w:r>
      <w:r>
        <w:rPr>
          <w:rFonts w:hint="eastAsia" w:ascii="宋体" w:hAnsi="宋体" w:cs="宋体"/>
          <w:i w:val="0"/>
          <w:iCs w:val="0"/>
          <w:color w:val="auto"/>
          <w:kern w:val="0"/>
          <w:sz w:val="18"/>
          <w:szCs w:val="18"/>
          <w:highlight w:val="none"/>
          <w:u w:val="none"/>
          <w:lang w:val="en-US" w:eastAsia="zh-CN" w:bidi="ar"/>
        </w:rPr>
        <w:t>4-3</w:t>
      </w:r>
      <w:r>
        <w:rPr>
          <w:rFonts w:hint="eastAsia" w:ascii="宋体" w:hAnsi="宋体" w:eastAsia="宋体" w:cs="宋体"/>
          <w:i w:val="0"/>
          <w:iCs w:val="0"/>
          <w:color w:val="auto"/>
          <w:kern w:val="0"/>
          <w:sz w:val="18"/>
          <w:szCs w:val="18"/>
          <w:highlight w:val="none"/>
          <w:u w:val="none"/>
          <w:lang w:val="en-US" w:eastAsia="zh-CN" w:bidi="ar"/>
        </w:rPr>
        <w:t>：制作类采购清单</w:t>
      </w:r>
      <w:r>
        <w:rPr>
          <w:rFonts w:hint="eastAsia" w:ascii="宋体" w:hAnsi="宋体" w:cs="宋体"/>
          <w:i w:val="0"/>
          <w:iCs w:val="0"/>
          <w:color w:val="auto"/>
          <w:kern w:val="0"/>
          <w:sz w:val="18"/>
          <w:szCs w:val="18"/>
          <w:highlight w:val="none"/>
          <w:u w:val="none"/>
          <w:lang w:val="en-US" w:eastAsia="zh-CN" w:bidi="ar"/>
        </w:rPr>
        <w:t>基准价</w:t>
      </w:r>
    </w:p>
    <w:tbl>
      <w:tblPr>
        <w:tblStyle w:val="41"/>
        <w:tblW w:w="51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2478"/>
        <w:gridCol w:w="2196"/>
        <w:gridCol w:w="2135"/>
        <w:gridCol w:w="745"/>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000" w:type="pct"/>
            <w:gridSpan w:val="6"/>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制作类采购清单基准价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211"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物料名称</w:t>
            </w:r>
          </w:p>
        </w:tc>
        <w:tc>
          <w:tcPr>
            <w:tcW w:w="1072"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1043"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材料/工艺 /特性</w:t>
            </w:r>
          </w:p>
        </w:tc>
        <w:tc>
          <w:tcPr>
            <w:tcW w:w="364"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标准单位</w:t>
            </w:r>
          </w:p>
        </w:tc>
        <w:tc>
          <w:tcPr>
            <w:tcW w:w="968" w:type="pct"/>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line="240" w:lineRule="auto"/>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基准价</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（不含税综合单价）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1211"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普通户外喷绘布/灯布</w:t>
            </w:r>
          </w:p>
        </w:tc>
        <w:tc>
          <w:tcPr>
            <w:tcW w:w="107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520户外灯布</w:t>
            </w:r>
          </w:p>
        </w:tc>
        <w:tc>
          <w:tcPr>
            <w:tcW w:w="364"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高精户外喷绘布/灯布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550户外灯布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普通室内喷绘布/灯布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520室内灯布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高精室内喷绘布/灯布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550室内灯布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普通黑底户外喷绘布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520黑底户外灯布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高精黑底户外喷绘布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550黑底户外灯布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普通双面喷绘布/夹黑布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520黑底喷绘布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高精双面喷绘布/夹黑布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550黑底喷绘布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普通灯箱布（灯布/喷绘布/宝丽布）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520户外灯箱布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高精灯箱布（灯布/喷绘布/宝丽布）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550户外灯箱布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反光灯箱布（晶彩格）</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550户外灯箱布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8mm国产网格布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网眼尺寸：8mm × 8mm </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国产，8mm网格布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10mm国产网格布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网眼尺寸：10mm × 10mm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国产，10mm网格布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12mm国产网格布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网眼尺寸：12mm × 12mm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国产，12mm网格布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8mm进口网格布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网眼尺寸：8mm × 8mm </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进口，8mm网格布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10mm进口网格布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网眼尺寸：10mm × 10mm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进口，10mm网格布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12mm进口网格布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网眼尺寸：12mm × 12mm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进口，12mm网格布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白胶车身贴</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白胶车身贴，覆亚膜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黑胶车身贴</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黑胶车身贴，覆亚膜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国产单孔透喷绘布（透视贴/网孔贴）</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国产，PVC材质，黑色胶底</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进口单孔透喷绘布（透视贴/网孔贴）</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精度1200dpi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进口，PVC材质，黑色胶底</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双面透视贴喷绘布（双向透视贴）</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PVC材质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室内背胶写真（海报）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户外背胶写真（海报）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高精室内背胶（海报）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高精室内背胶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高精户外背胶（海报）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高精户外背胶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可移动背胶（水性PVC背胶）</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可移动背胶，不易损坏底层物品</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高精可移动背胶（水性PVC背胶）</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高精可移动背胶，不易损坏底层物品</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透明背胶（水性PVC透明背胶）</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裱贴于玻璃表面,有透明同磨砂效果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KT板/室内背胶写真，裱KT板</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KT板+国产室内背胶</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异形KT板</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精度721dpi</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KT板+国产室外背胶</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KT板/室外背胶写真，裱KT板</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KT板+国产室外背胶</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PVC板/室内背胶喷绘/写真，裱PVC板（普通）</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室内背胶裱2mmPVC,根据需要裁形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室内背胶裱3mmPVC,根据需要裁形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室内背胶裱5mmPVC,根据需要裁形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室内背胶裱7mmPVC,根据需要裁形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PVC板/室内背胶喷绘/写真，裱PVC板（高精）</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室内背胶裱2mmPVC,根据需要裁形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室内背胶裱3mmPVC,根据需要裁形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室内背胶裱5mmPVC,根据需要裁形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室内背胶裱7mmPVC,根据需要裁形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PVC板/室外背胶喷绘/写真，裱PVC板（普通）</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户外背胶裱2mmPVC,根据需要裁形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户外背胶裱3mmPVC,根据需要裁形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户外背胶裱5mmPVC,根据需要裁形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户外背胶裱7mmPVC,根据需要裁形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PVC板/室外背胶喷绘/写真，裱PVC板（高精）</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户外背胶裱2mmPVC,根据需要裁形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户外背胶裱3mmPVC,根据需要裁形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户外背胶裱5mmPVC,根据需要裁形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户外背胶裱7mmPVC,根据需要裁形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玻璃贴/防撞条</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玻璃贴，自带胶面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PP胶片（海报）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精美胶质、高精度，不自带胶面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相纸（海报）</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相纸纸、高精度，不自带胶面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室内透明灯箱片（全透片）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正喷灯箱片/背喷灯箱片，根据需求过亚膜/光膜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室内半透明灯箱片（半透片/太白片）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正喷灯箱片/背喷灯箱片，根据需求过亚膜/光膜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室外透明灯箱片（全透片）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正喷灯箱片/背喷灯箱片，根据需求过亚膜/光膜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室外半透明灯箱片（半透片/太白片）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正喷灯箱片/背喷灯箱片，根据需求过亚膜/光膜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室内绢丝布喷绘布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质地柔软，色彩鲜艳，亚光防水，抗退色能力好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户外绢丝布喷绘布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质地柔软，色彩鲜艳，亚光防水，抗退色能力好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普通油画布喷绘布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精度600dpi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油画布，以优质纯棉布作为布基材料，防水效果好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高精油画布喷绘布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精度1440dpi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油画布，以优质纯棉布作为布基材料，防水效果好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无纺布喷绘布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115g</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质地轻，韧性好，具有良好的抗褪色和防水效果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亚展板，覆亚膜</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精度720dpi</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亚展板+720dpi室内背胶，覆亚膜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安迪板（PVC发泡板/雪弗板/木塑板），厚3mm，裱背胶写真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安迪板（PVC发泡板/雪弗板/木塑板），厚5mm，裱背胶写真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安迪板（PVC发泡板/雪弗板/木塑板），厚7mm，裱背胶写真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安迪板（PVC发泡板/雪弗板/木塑板），厚10mm，裱背胶写真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安迪板（PVC发泡板/雪弗板/木塑板），厚3mm，UV打印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安迪板（PVC发泡板/雪弗板/木塑板），厚5mm，UV打印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7mm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安迪板（PVC发泡板/雪弗板/木塑板），厚7mm，UV打印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安迪板（PVC发泡板/雪弗板/木塑板），厚10mm，UV打印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防雨布（涤纶布）</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涤纶布+钢架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不发光（普通布）楼体字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阻燃网＋字体（普通布）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不发光（金色布）楼体字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阻燃网＋字体（金色布）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发光（普通布）楼体字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阻燃网＋字体（普通布）＋LED模组光源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发光（金色布）楼体字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阻燃网＋字体（金色布）＋LED模组光源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排栅字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根据需要制定</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钢管+防护网+喷绘+高密度网格布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有机片（进口透明片）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进口透明片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有机片（进口乳白片）</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进口乳白片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81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亚克力（有机玻璃，国产）</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国产，亚克力（有机玻璃）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亚克力（有机玻璃，合资）</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合资，亚克力（有机玻璃）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亚克力（有机玻璃，进口）</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进口，亚克力（有机玻璃）</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铝板（薄板）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0.15-2.0mm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薄板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铝板（常规板）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常规板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铝板（中板）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6.0-25.0mm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铝板（厚板）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25-200mm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铝板（超厚板）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200mm以上</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超厚板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铝塑板（建筑幕墙用）</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上、下铝板的最小厚度不小于0.50mm，总厚度应不小于4mm铝材。材质应符合GB/T 3880的要求，一般要采用3000、5000等系列的铝合金板材，涂层应采用氟碳树脂涂层。</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铝塑板（外墙装饰与广告用）</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fldChar w:fldCharType="begin"/>
            </w:r>
            <w:r>
              <w:rPr>
                <w:rFonts w:hint="eastAsia" w:ascii="宋体" w:hAnsi="宋体" w:eastAsia="宋体" w:cs="宋体"/>
                <w:i w:val="0"/>
                <w:iCs w:val="0"/>
                <w:color w:val="auto"/>
                <w:kern w:val="0"/>
                <w:sz w:val="18"/>
                <w:szCs w:val="18"/>
                <w:highlight w:val="none"/>
                <w:u w:val="none"/>
                <w:lang w:val="en-US" w:eastAsia="zh-CN" w:bidi="ar"/>
              </w:rPr>
              <w:instrText xml:space="preserve"> HYPERLINK "http://baike.baidu.com/view/1304169.htm" </w:instrText>
            </w:r>
            <w:r>
              <w:rPr>
                <w:rFonts w:hint="eastAsia" w:ascii="宋体" w:hAnsi="宋体" w:eastAsia="宋体" w:cs="宋体"/>
                <w:i w:val="0"/>
                <w:iCs w:val="0"/>
                <w:color w:val="auto"/>
                <w:kern w:val="0"/>
                <w:sz w:val="18"/>
                <w:szCs w:val="18"/>
                <w:highlight w:val="none"/>
                <w:u w:val="none"/>
                <w:lang w:val="en-US" w:eastAsia="zh-CN" w:bidi="ar"/>
              </w:rPr>
              <w:fldChar w:fldCharType="separate"/>
            </w:r>
            <w:r>
              <w:rPr>
                <w:rStyle w:val="49"/>
                <w:rFonts w:hint="eastAsia" w:ascii="宋体" w:hAnsi="宋体" w:eastAsia="宋体" w:cs="宋体"/>
                <w:i w:val="0"/>
                <w:iCs w:val="0"/>
                <w:color w:val="auto"/>
                <w:sz w:val="18"/>
                <w:szCs w:val="18"/>
                <w:highlight w:val="none"/>
                <w:u w:val="none"/>
              </w:rPr>
              <w:t>上、下铝板采用厚度不小于0.20mm的防锈铝，总厚度应不小于4mm。涂层一般采用氟碳涂层或聚酯涂层。</w:t>
            </w:r>
            <w:r>
              <w:rPr>
                <w:rFonts w:hint="eastAsia" w:ascii="宋体" w:hAnsi="宋体" w:eastAsia="宋体" w:cs="宋体"/>
                <w:i w:val="0"/>
                <w:iCs w:val="0"/>
                <w:color w:val="auto"/>
                <w:kern w:val="0"/>
                <w:sz w:val="18"/>
                <w:szCs w:val="18"/>
                <w:highlight w:val="none"/>
                <w:u w:val="none"/>
                <w:lang w:val="en-US" w:eastAsia="zh-CN" w:bidi="ar"/>
              </w:rPr>
              <w:fldChar w:fldCharType="end"/>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铝塑板（室内用）</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上、下铝板一般采用厚度为0.20mm，最小厚度不小于0.10mm的铝板，总厚度一般为3mm。涂层采用聚酯涂层或丙烯酸涂层。</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3米高围挡包装</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高3米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用4*4+3*3角铁焊成型钢架结构，面封0.5mm锌铁板做</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5米高围挡包装</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高5米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用4*4+3*3角铁焊成型钢架结构，面封0.5mm锌铁板做，支撑点做水泥混凝土基础固定+斜撑</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6米围挡包装</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高6米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用4*4+3*3角铁焊成型钢架结构，面封0.5mm锌铁板做，支撑点做水泥混凝土基础固定+斜撑</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8米围挡包装</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高8米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用4*4+3*3角铁焊成型钢架结构，面封0.5mm锌铁板做，支撑点做水泥混凝土基础固定+斜撑</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103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仿真绿植</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镀锌方管及防水基地层衬底，仿真绿植墙及镜面金属饰面板装饰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仿真竹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仿真竹结构：5cm直径仿真竹、不锈槽钢底座、斜撑</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105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绿草皮</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2.5cm厚</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3cm厚</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户外LED投射灯（购买）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户外LED投射灯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112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元/盏 </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113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射灯支架</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易拉宝（购买）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200cm×80cm</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直喷PVC画面+架子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115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200cm×100cm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116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200cm×120cm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117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X展架（购买）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160cm×60cm</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直喷PVC画面+架子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180cm×80cm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119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木质画架</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净重3.2KG左右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进口松木，不含画面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净重3.2KG左右</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进口松木，烤漆，不含画面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121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美术画架</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实木（松木）画架（活动多用）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手举牌</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40x60cm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四色打印，600DPI，铝制（或不锈钢），不含画面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手举牌</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40x60cm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pvc白色塑料板托，铝合金杆子，不含画面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铝合金防风展架</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80*200cm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铝合金，双面KT板制作，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玻璃展架，不含画面</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1655*800mm*2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尺寸：80*180cm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钢化玻璃：80*180cm厚6mm*2张</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材质：铁 、不锈钢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颜色：黑，玫瑰金、白、不锈钢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126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拉网展架/快展架（购买）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3mX2.3m</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加粗铝合金管，ADS塑料方头，画面KT展板拼接或喷绘</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2mX2.3m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128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门型展架（购买）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160cm*60cm</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塑料注水底座或铁艺底座+架子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180cm*80cm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元/套</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资料架（购买）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 0.48m* D 0.32m* H 1.45m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不锈钢喷漆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合同展示架（购买）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W0.52m*D0.36mxH1.05m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不锈钢烤漆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973.88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海报（购买）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60cmx90cm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元/张</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80cmx120cm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元/张</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60cmx90cm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元/张</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135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80cmx120cm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户外背胶写真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元/张</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136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普通横幅（斜纹华达呢布）（购买）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宽0.75m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宽0.75m，丝印，横幅+木棍+绳子，各种颜色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宽度1m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宽1m，丝印，横幅+木棍+绳子，各种颜色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宽度1.2m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宽1.2m，丝印，横幅+木棍+绳子，各种颜色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宽度1.5m</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宽.1.5m，丝印，横幅+木棍+绳子，各种颜色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丝印工艺费（四色）</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四色印刷</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丝印工艺费（单色）</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单色印刷</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一次性地毯（针刺无纺地毯）（购买）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厚2.5mm，涤纶，无纺织造，含打地毯胶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PVC橡胶防滑地毯（孔状）（购买）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厚12mm，塑胶纤维，防水、防滑</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塑料地毯（橡胶地毯）（购买）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厚1cm,以塑料为原料，可印LOGO</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涤纶地毯（胶粒地毯）（购买）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厚2.5mm，塑料地毯，可印LOGO</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PVC胶底地毯（购买）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厚1cm，PVC黑胶底，尼龙毯面，可印LOGO</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PVC防滑地毯（胶质）（购买）</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厚15mm，PVC软胶，可印LOGO</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148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钛金字（201#）</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30cm以下</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201#0.7mm钛金板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51-99㎝</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151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1M以上</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152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钛金字（304#）</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30cm以下</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304#0.7mm钛金板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51-99㎝</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1M以上</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水晶字（厚10mm）</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30cm以下</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厚10mm，面贴3mm有色机片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157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31cm-50cm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158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51cm-99cm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1m以上</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水晶字（厚18mm）</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30cm以下</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厚18mm，面贴3mm有色机片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31cm-50cm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162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51cm-99cm</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元/m</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163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1m以上</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LED外露灯发光字（冲孔发光字）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激光切割，外壳材料有镀锌板、铝板、不锈钢板、烤漆等</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LED背发光字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外壳材料有镀锌板、铝板、不锈钢板、烤漆等，底部安装LED灯带</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LED七彩发光字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面板采用亚克力平板或吸塑、外壳采用亚克力围、镀锌板、铝板、不锈钢板烤漆或喷塑可选</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LED全彩发光字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LED亚克力内发光全彩发光字/LED外露全彩发光字</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LED亚克力吸塑发光字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面板是吸塑，外壳为镀锌板烤漆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LED树脂发光字（液态发光字）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面板及外壳采用不饱和树脂浇注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LED亚克力平面发光字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面板是亚克力，边采用亚克力板/PVC围边，底板采用PVC板，内装LED光源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446.15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LED环氧树脂发光字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字壳镀锌板、铝板、不锈钢板烤漆，内装LED冷光源，浇注环氧树脂</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特殊工艺发光字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树脂浇注/亚克力黑发白板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173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不锈钢电镀玫瑰金（发光字）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304#0.7mm不锈钢材质，电镀玫瑰金，内藏LED灯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174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不锈钢烤漆立体字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304#0.7mm不锈钢材质，烤漆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古铜漆立体字（喷漆）</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厚3mm，实心不锈钢/铁，喷古铜漆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雪弗板（安迪板、PVC板）立体字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厚6mm，雪弗板（安迪板、PVC板）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177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泡沫立体字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厚1m，发泡板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178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厚15+3mm，亚克力</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木质烤漆立体字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厚2cm，实木，烤漆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铝塑板立体字</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15mm亚克力+1mm铝塑板立体字</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181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灯箱背板</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雪弗板</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182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灯箱</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含灯箱框及发光条</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183 </w:t>
            </w:r>
          </w:p>
        </w:tc>
        <w:tc>
          <w:tcPr>
            <w:tcW w:w="1211"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灯箱软膜</w:t>
            </w:r>
          </w:p>
        </w:tc>
        <w:tc>
          <w:tcPr>
            <w:tcW w:w="10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软膜</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184 </w:t>
            </w:r>
          </w:p>
        </w:tc>
        <w:tc>
          <w:tcPr>
            <w:tcW w:w="1211" w:type="pct"/>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金蛋</w:t>
            </w:r>
          </w:p>
        </w:tc>
        <w:tc>
          <w:tcPr>
            <w:tcW w:w="1072" w:type="pct"/>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20cm高 </w:t>
            </w:r>
          </w:p>
        </w:tc>
        <w:tc>
          <w:tcPr>
            <w:tcW w:w="1043" w:type="pct"/>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金箔漆表面，石膏粉浇筑</w:t>
            </w:r>
          </w:p>
        </w:tc>
        <w:tc>
          <w:tcPr>
            <w:tcW w:w="364" w:type="pct"/>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185 </w:t>
            </w:r>
          </w:p>
        </w:tc>
        <w:tc>
          <w:tcPr>
            <w:tcW w:w="1211"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手持礼花</w:t>
            </w:r>
          </w:p>
        </w:tc>
        <w:tc>
          <w:tcPr>
            <w:tcW w:w="1072"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60cm长</w:t>
            </w:r>
          </w:p>
        </w:tc>
        <w:tc>
          <w:tcPr>
            <w:tcW w:w="1043"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内部彩条加亮片</w:t>
            </w:r>
          </w:p>
        </w:tc>
        <w:tc>
          <w:tcPr>
            <w:tcW w:w="364"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元/根</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186 </w:t>
            </w:r>
          </w:p>
        </w:tc>
        <w:tc>
          <w:tcPr>
            <w:tcW w:w="1211"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胸牌</w:t>
            </w:r>
          </w:p>
        </w:tc>
        <w:tc>
          <w:tcPr>
            <w:tcW w:w="1072"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70*20mm</w:t>
            </w:r>
          </w:p>
        </w:tc>
        <w:tc>
          <w:tcPr>
            <w:tcW w:w="1043"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别针式，304不锈钢胸牌</w:t>
            </w:r>
          </w:p>
        </w:tc>
        <w:tc>
          <w:tcPr>
            <w:tcW w:w="364"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187 </w:t>
            </w:r>
          </w:p>
        </w:tc>
        <w:tc>
          <w:tcPr>
            <w:tcW w:w="1211"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不锈钢单片</w:t>
            </w:r>
          </w:p>
        </w:tc>
        <w:tc>
          <w:tcPr>
            <w:tcW w:w="1072"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0.8mm玫瑰金不锈钢单片，进口油墨丝网印刷</w:t>
            </w:r>
          </w:p>
        </w:tc>
        <w:tc>
          <w:tcPr>
            <w:tcW w:w="364" w:type="pc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188 </w:t>
            </w:r>
          </w:p>
        </w:tc>
        <w:tc>
          <w:tcPr>
            <w:tcW w:w="1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中国结</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10盘/12盘</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带穗，中间带福字，或有鱼挂件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1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18盘/20盘</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带穗，中间带福字，或有鱼挂件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190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抽奖箱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40cm*40cm*40cm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3mm亚克力</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 </w:t>
            </w:r>
          </w:p>
        </w:tc>
        <w:tc>
          <w:tcPr>
            <w:tcW w:w="1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1米栏</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192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单面道旗</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120*350cm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旗帜布，彩印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193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双面道旗</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120*350cm</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国旗布，三层布双面彩印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194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即时贴</w:t>
            </w:r>
          </w:p>
        </w:tc>
        <w:tc>
          <w:tcPr>
            <w:tcW w:w="10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1.2*0.15M</w:t>
            </w:r>
          </w:p>
        </w:tc>
        <w:tc>
          <w:tcPr>
            <w:tcW w:w="104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2mm镂空拉丝金属即时贴</w:t>
            </w:r>
          </w:p>
        </w:tc>
        <w:tc>
          <w:tcPr>
            <w:tcW w:w="3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元/个</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195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3P布灯箱画面</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户外防水UV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桁架租赁（三天起）</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元/㎡/天</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197 </w:t>
            </w:r>
          </w:p>
        </w:tc>
        <w:tc>
          <w:tcPr>
            <w:tcW w:w="121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桁架（购买）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按实际需求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132.30 </w:t>
            </w:r>
          </w:p>
        </w:tc>
      </w:tr>
    </w:tbl>
    <w:p>
      <w:pPr>
        <w:spacing w:after="312" w:afterLines="100" w:line="360" w:lineRule="auto"/>
        <w:jc w:val="center"/>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2"/>
        <w:rPr>
          <w:rFonts w:hint="eastAsia"/>
        </w:rPr>
      </w:pPr>
    </w:p>
    <w:p>
      <w:pPr>
        <w:spacing w:after="312" w:afterLines="100"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五、项目组人员配置</w:t>
      </w:r>
    </w:p>
    <w:p>
      <w:pPr>
        <w:spacing w:after="312" w:after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41"/>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1065"/>
        <w:gridCol w:w="1537"/>
        <w:gridCol w:w="1537"/>
        <w:gridCol w:w="1228"/>
        <w:gridCol w:w="453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91" w:hRule="atLeast"/>
          <w:jc w:val="center"/>
        </w:trPr>
        <w:tc>
          <w:tcPr>
            <w:tcW w:w="538"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姓名</w:t>
            </w:r>
          </w:p>
        </w:tc>
        <w:tc>
          <w:tcPr>
            <w:tcW w:w="776"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公司职务</w:t>
            </w:r>
          </w:p>
        </w:tc>
        <w:tc>
          <w:tcPr>
            <w:tcW w:w="776"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项目职务</w:t>
            </w:r>
          </w:p>
        </w:tc>
        <w:tc>
          <w:tcPr>
            <w:tcW w:w="620"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从业年限</w:t>
            </w:r>
          </w:p>
        </w:tc>
        <w:tc>
          <w:tcPr>
            <w:tcW w:w="2286" w:type="pct"/>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tabs>
                <w:tab w:val="left" w:pos="720"/>
                <w:tab w:val="left" w:pos="1440"/>
                <w:tab w:val="left" w:pos="2160"/>
                <w:tab w:val="left" w:pos="2880"/>
                <w:tab w:val="left" w:pos="36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承担项目经历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6"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c>
          <w:tcPr>
            <w:tcW w:w="2286"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auto"/>
                <w:szCs w:val="21"/>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85" w:hRule="atLeast"/>
          <w:jc w:val="center"/>
        </w:trPr>
        <w:tc>
          <w:tcPr>
            <w:tcW w:w="5000" w:type="pct"/>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一旦我单位中标</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将实行项目团队负责制</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我方保证并配备上述团队。我方保证上述填报内容真实。</w:t>
            </w:r>
          </w:p>
        </w:tc>
      </w:tr>
    </w:tbl>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auto"/>
          <w:highlight w:val="none"/>
        </w:rPr>
      </w:pPr>
    </w:p>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pPr>
    </w:p>
    <w:p>
      <w:pPr>
        <w:pStyle w:val="25"/>
        <w:numPr>
          <w:ilvl w:val="0"/>
          <w:numId w:val="0"/>
        </w:numPr>
        <w:rPr>
          <w:rFonts w:hint="eastAsia" w:ascii="宋体" w:hAnsi="宋体" w:eastAsia="宋体" w:cs="宋体"/>
          <w:bCs/>
          <w:color w:val="auto"/>
          <w:sz w:val="24"/>
          <w:highlight w:val="none"/>
        </w:rPr>
        <w:sectPr>
          <w:pgSz w:w="11906" w:h="16838"/>
          <w:pgMar w:top="1440" w:right="1080" w:bottom="1440" w:left="1080" w:header="851" w:footer="567" w:gutter="0"/>
          <w:pgNumType w:fmt="decimal"/>
          <w:cols w:space="0" w:num="1"/>
          <w:docGrid w:type="lines" w:linePitch="312" w:charSpace="0"/>
        </w:sectPr>
      </w:pPr>
    </w:p>
    <w:p>
      <w:pPr>
        <w:spacing w:after="312"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六、技术参数响应及偏离表</w:t>
      </w:r>
    </w:p>
    <w:p>
      <w:pPr>
        <w:spacing w:after="312" w:after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3066"/>
        <w:gridCol w:w="3066"/>
        <w:gridCol w:w="1453"/>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招标要求</w:t>
            </w:r>
          </w:p>
        </w:tc>
        <w:tc>
          <w:tcPr>
            <w:tcW w:w="1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w:t>
            </w:r>
          </w:p>
        </w:tc>
        <w:tc>
          <w:tcPr>
            <w:tcW w:w="7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p>
    <w:p>
      <w:pPr>
        <w:rPr>
          <w:rFonts w:hint="eastAsia" w:ascii="宋体" w:hAnsi="宋体" w:eastAsia="宋体" w:cs="宋体"/>
          <w:color w:val="auto"/>
          <w:kern w:val="0"/>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1、按照基本技术要求详细填列。</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2、行数不够，可自行添加。</w:t>
      </w:r>
    </w:p>
    <w:p>
      <w:pPr>
        <w:ind w:firstLine="420" w:firstLineChars="200"/>
        <w:jc w:val="left"/>
        <w:rPr>
          <w:rFonts w:hint="eastAsia" w:ascii="宋体" w:hAnsi="宋体" w:eastAsia="宋体" w:cs="宋体"/>
          <w:b/>
          <w:color w:val="auto"/>
          <w:sz w:val="36"/>
          <w:highlight w:val="none"/>
        </w:rPr>
      </w:pPr>
      <w:r>
        <w:rPr>
          <w:rFonts w:hint="eastAsia" w:ascii="宋体" w:hAnsi="宋体" w:eastAsia="宋体" w:cs="宋体"/>
          <w:color w:val="auto"/>
          <w:szCs w:val="21"/>
          <w:highlight w:val="none"/>
        </w:rPr>
        <w:t>3、技术偏离表应针对项目需求逐条应答。</w:t>
      </w:r>
    </w:p>
    <w:p>
      <w:pPr>
        <w:jc w:val="left"/>
        <w:rPr>
          <w:rFonts w:hint="eastAsia" w:ascii="宋体" w:hAnsi="宋体" w:eastAsia="宋体" w:cs="宋体"/>
          <w:b/>
          <w:color w:val="auto"/>
          <w:sz w:val="36"/>
          <w:highlight w:val="none"/>
        </w:rPr>
      </w:pPr>
    </w:p>
    <w:p>
      <w:pPr>
        <w:jc w:val="left"/>
        <w:rPr>
          <w:rFonts w:hint="eastAsia" w:ascii="宋体" w:hAnsi="宋体" w:eastAsia="宋体" w:cs="宋体"/>
          <w:b/>
          <w:color w:val="auto"/>
          <w:sz w:val="36"/>
          <w:highlight w:val="none"/>
        </w:rPr>
      </w:pPr>
    </w:p>
    <w:p>
      <w:pPr>
        <w:jc w:val="left"/>
        <w:rPr>
          <w:rFonts w:hint="eastAsia" w:ascii="宋体" w:hAnsi="宋体" w:eastAsia="宋体" w:cs="宋体"/>
          <w:b/>
          <w:color w:val="auto"/>
          <w:sz w:val="36"/>
          <w:highlight w:val="none"/>
        </w:rPr>
      </w:pPr>
    </w:p>
    <w:p>
      <w:pPr>
        <w:jc w:val="left"/>
        <w:rPr>
          <w:rFonts w:hint="eastAsia" w:ascii="宋体" w:hAnsi="宋体" w:eastAsia="宋体" w:cs="宋体"/>
          <w:b/>
          <w:color w:val="auto"/>
          <w:sz w:val="36"/>
          <w:highlight w:val="none"/>
        </w:rPr>
      </w:pPr>
    </w:p>
    <w:p>
      <w:pPr>
        <w:spacing w:line="460" w:lineRule="exact"/>
        <w:rPr>
          <w:rFonts w:hint="eastAsia" w:ascii="宋体" w:hAnsi="宋体" w:eastAsia="宋体" w:cs="宋体"/>
          <w:bCs/>
          <w:color w:val="auto"/>
          <w:sz w:val="24"/>
          <w:highlight w:val="none"/>
        </w:rPr>
      </w:pPr>
    </w:p>
    <w:p>
      <w:pPr>
        <w:spacing w:line="460" w:lineRule="exact"/>
        <w:rPr>
          <w:rFonts w:hint="eastAsia" w:ascii="宋体" w:hAnsi="宋体" w:eastAsia="宋体" w:cs="宋体"/>
          <w:bCs/>
          <w:color w:val="auto"/>
          <w:sz w:val="24"/>
          <w:highlight w:val="none"/>
        </w:rPr>
      </w:pPr>
    </w:p>
    <w:p>
      <w:pPr>
        <w:spacing w:after="312"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Cs w:val="21"/>
          <w:highlight w:val="none"/>
        </w:rPr>
        <w:t>七、商务条款响应及偏离表</w:t>
      </w:r>
    </w:p>
    <w:p>
      <w:pPr>
        <w:spacing w:after="312" w:after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4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7"/>
        <w:gridCol w:w="3153"/>
        <w:gridCol w:w="1471"/>
        <w:gridCol w:w="3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1582" w:type="pct"/>
            <w:tcBorders>
              <w:top w:val="single" w:color="auto" w:sz="4" w:space="0"/>
              <w:left w:val="single" w:color="auto" w:sz="4" w:space="0"/>
              <w:bottom w:val="single" w:color="auto" w:sz="4" w:space="0"/>
              <w:right w:val="single" w:color="auto" w:sz="4" w:space="0"/>
            </w:tcBorders>
          </w:tcPr>
          <w:p>
            <w:pPr>
              <w:spacing w:before="156" w:beforeLines="50" w:line="220" w:lineRule="atLeast"/>
              <w:rPr>
                <w:rFonts w:hint="eastAsia" w:ascii="宋体" w:hAnsi="宋体" w:eastAsia="宋体" w:cs="宋体"/>
                <w:color w:val="auto"/>
                <w:szCs w:val="21"/>
                <w:highlight w:val="none"/>
              </w:rPr>
            </w:pPr>
          </w:p>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投标货币</w:t>
            </w:r>
          </w:p>
        </w:tc>
        <w:tc>
          <w:tcPr>
            <w:tcW w:w="1582" w:type="pct"/>
            <w:tcBorders>
              <w:top w:val="single" w:color="auto" w:sz="4" w:space="0"/>
              <w:left w:val="single" w:color="auto" w:sz="4" w:space="0"/>
              <w:bottom w:val="single" w:color="auto" w:sz="4" w:space="0"/>
              <w:right w:val="single" w:color="auto" w:sz="4" w:space="0"/>
            </w:tcBorders>
          </w:tcPr>
          <w:p>
            <w:pPr>
              <w:spacing w:before="156" w:beforeLines="50" w:line="220" w:lineRule="atLeast"/>
              <w:rPr>
                <w:rFonts w:hint="eastAsia" w:ascii="宋体" w:hAnsi="宋体" w:eastAsia="宋体" w:cs="宋体"/>
                <w:color w:val="auto"/>
                <w:sz w:val="24"/>
                <w:szCs w:val="20"/>
                <w:highlight w:val="none"/>
              </w:rPr>
            </w:pPr>
          </w:p>
          <w:p>
            <w:pPr>
              <w:adjustRightInd w:val="0"/>
              <w:snapToGrid w:val="0"/>
              <w:spacing w:before="156" w:beforeLines="50" w:after="200" w:line="220" w:lineRule="atLeast"/>
              <w:rPr>
                <w:rFonts w:hint="eastAsia" w:ascii="宋体" w:hAnsi="宋体" w:eastAsia="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备品备件及耗材等要求</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color w:val="auto"/>
                <w:szCs w:val="21"/>
                <w:highlight w:val="none"/>
              </w:rPr>
            </w:pPr>
          </w:p>
        </w:tc>
      </w:tr>
    </w:tbl>
    <w:p>
      <w:pPr>
        <w:spacing w:before="312" w:before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供应商参加投标确认函</w:t>
      </w:r>
    </w:p>
    <w:p>
      <w:pPr>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江苏志诚工程咨询管理有限公司</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本单位将参加贵公司于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日开标的采购编号为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项目的投标。本单位已在网站成功下载标书，特发函确认。</w:t>
      </w:r>
    </w:p>
    <w:p>
      <w:pPr>
        <w:spacing w:line="360" w:lineRule="auto"/>
        <w:ind w:left="3120" w:hanging="3120" w:hangingChars="1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（单位公章）</w:t>
      </w:r>
    </w:p>
    <w:p>
      <w:pPr>
        <w:pBdr>
          <w:bottom w:val="single" w:color="auto" w:sz="6" w:space="1"/>
        </w:pBdr>
        <w:spacing w:line="360" w:lineRule="auto"/>
        <w:ind w:left="3960" w:hanging="3960" w:hangingChars="16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年　　　月　　　日</w:t>
      </w:r>
    </w:p>
    <w:p>
      <w:pPr>
        <w:spacing w:line="360" w:lineRule="auto"/>
        <w:ind w:left="3960" w:hanging="3960" w:hangingChars="1650"/>
        <w:rPr>
          <w:rFonts w:hint="eastAsia" w:ascii="宋体" w:hAnsi="宋体" w:eastAsia="宋体" w:cs="宋体"/>
          <w:color w:val="auto"/>
          <w:sz w:val="24"/>
          <w:highlight w:val="none"/>
        </w:rPr>
      </w:pPr>
    </w:p>
    <w:p>
      <w:pPr>
        <w:spacing w:line="360" w:lineRule="auto"/>
        <w:ind w:left="3960" w:hanging="3960" w:hangingChars="1650"/>
        <w:rPr>
          <w:rFonts w:hint="eastAsia" w:ascii="宋体" w:hAnsi="宋体" w:eastAsia="宋体" w:cs="宋体"/>
          <w:color w:val="auto"/>
          <w:sz w:val="24"/>
          <w:highlight w:val="none"/>
        </w:rPr>
      </w:pPr>
    </w:p>
    <w:p>
      <w:pPr>
        <w:spacing w:line="360" w:lineRule="auto"/>
        <w:ind w:left="3960" w:hanging="3960" w:hanging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p>
    <w:p>
      <w:pPr>
        <w:spacing w:line="360" w:lineRule="auto"/>
        <w:ind w:left="3975" w:hanging="3975" w:hangingChars="16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供应商联系表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8"/>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3819" w:type="pct"/>
            <w:gridSpan w:val="3"/>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3819" w:type="pct"/>
            <w:gridSpan w:val="3"/>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329" w:type="pct"/>
          </w:tcPr>
          <w:p>
            <w:pPr>
              <w:spacing w:line="360" w:lineRule="auto"/>
              <w:rPr>
                <w:rFonts w:hint="eastAsia" w:ascii="宋体" w:hAnsi="宋体" w:eastAsia="宋体" w:cs="宋体"/>
                <w:color w:val="auto"/>
                <w:sz w:val="24"/>
                <w:highlight w:val="none"/>
              </w:rPr>
            </w:pPr>
          </w:p>
        </w:tc>
        <w:tc>
          <w:tcPr>
            <w:tcW w:w="1329"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p>
        </w:tc>
        <w:tc>
          <w:tcPr>
            <w:tcW w:w="1161" w:type="pct"/>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单位电话</w:t>
            </w:r>
          </w:p>
        </w:tc>
        <w:tc>
          <w:tcPr>
            <w:tcW w:w="1329" w:type="pct"/>
          </w:tcPr>
          <w:p>
            <w:pPr>
              <w:spacing w:line="360" w:lineRule="auto"/>
              <w:jc w:val="center"/>
              <w:rPr>
                <w:rFonts w:hint="eastAsia" w:ascii="宋体" w:hAnsi="宋体" w:eastAsia="宋体" w:cs="宋体"/>
                <w:color w:val="auto"/>
                <w:sz w:val="24"/>
                <w:highlight w:val="none"/>
              </w:rPr>
            </w:pPr>
          </w:p>
        </w:tc>
        <w:tc>
          <w:tcPr>
            <w:tcW w:w="1329" w:type="pct"/>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传真号码</w:t>
            </w:r>
          </w:p>
        </w:tc>
        <w:tc>
          <w:tcPr>
            <w:tcW w:w="1161" w:type="pct"/>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p>
        </w:tc>
        <w:tc>
          <w:tcPr>
            <w:tcW w:w="1329" w:type="pct"/>
          </w:tcPr>
          <w:p>
            <w:pPr>
              <w:spacing w:line="360" w:lineRule="auto"/>
              <w:jc w:val="center"/>
              <w:rPr>
                <w:rFonts w:hint="eastAsia" w:ascii="宋体" w:hAnsi="宋体" w:eastAsia="宋体" w:cs="宋体"/>
                <w:color w:val="auto"/>
                <w:sz w:val="24"/>
                <w:highlight w:val="none"/>
              </w:rPr>
            </w:pPr>
          </w:p>
        </w:tc>
        <w:tc>
          <w:tcPr>
            <w:tcW w:w="1329"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箱</w:t>
            </w:r>
          </w:p>
        </w:tc>
        <w:tc>
          <w:tcPr>
            <w:tcW w:w="1161" w:type="pct"/>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联系人电话</w:t>
            </w:r>
          </w:p>
        </w:tc>
        <w:tc>
          <w:tcPr>
            <w:tcW w:w="1329" w:type="pct"/>
          </w:tcPr>
          <w:p>
            <w:pPr>
              <w:spacing w:line="360" w:lineRule="auto"/>
              <w:jc w:val="center"/>
              <w:rPr>
                <w:rFonts w:hint="eastAsia" w:ascii="宋体" w:hAnsi="宋体" w:eastAsia="宋体" w:cs="宋体"/>
                <w:color w:val="auto"/>
                <w:sz w:val="24"/>
                <w:highlight w:val="none"/>
              </w:rPr>
            </w:pPr>
          </w:p>
        </w:tc>
        <w:tc>
          <w:tcPr>
            <w:tcW w:w="1329"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联系人手机</w:t>
            </w:r>
          </w:p>
        </w:tc>
        <w:tc>
          <w:tcPr>
            <w:tcW w:w="1161" w:type="pct"/>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所投分包</w:t>
            </w:r>
          </w:p>
        </w:tc>
        <w:tc>
          <w:tcPr>
            <w:tcW w:w="3819" w:type="pct"/>
            <w:gridSpan w:val="3"/>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spacing w:before="312" w:before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1、请准备参与本项目投标的供应商如实填写（以上信息均为必填内容）后邮件至采购代理机构（邮 箱：</w:t>
      </w:r>
      <w:bookmarkStart w:id="130" w:name="EBba9c9bd7b5a64bcfb0f2dcb71e0ea086"/>
      <w:r>
        <w:rPr>
          <w:rFonts w:hint="eastAsia" w:ascii="宋体" w:hAnsi="宋体" w:cs="宋体"/>
          <w:color w:val="auto"/>
          <w:sz w:val="24"/>
          <w:highlight w:val="none"/>
          <w:lang w:eastAsia="zh-CN"/>
        </w:rPr>
        <w:t>785419524</w:t>
      </w:r>
      <w:r>
        <w:rPr>
          <w:rFonts w:hint="eastAsia" w:ascii="宋体" w:hAnsi="宋体" w:eastAsia="宋体" w:cs="宋体"/>
          <w:color w:val="auto"/>
          <w:sz w:val="24"/>
          <w:highlight w:val="none"/>
        </w:rPr>
        <w:t>@qq.</w:t>
      </w:r>
      <w:bookmarkEnd w:id="130"/>
      <w:r>
        <w:rPr>
          <w:rFonts w:hint="eastAsia" w:ascii="宋体" w:hAnsi="宋体" w:eastAsia="宋体" w:cs="宋体"/>
          <w:color w:val="auto"/>
          <w:sz w:val="24"/>
          <w:highlight w:val="none"/>
        </w:rPr>
        <w:t>com，电话：</w:t>
      </w:r>
      <w:r>
        <w:rPr>
          <w:rFonts w:hint="eastAsia" w:ascii="宋体" w:hAnsi="宋体" w:cs="宋体"/>
          <w:color w:val="auto"/>
          <w:sz w:val="24"/>
          <w:highlight w:val="none"/>
          <w:lang w:eastAsia="zh-CN"/>
        </w:rPr>
        <w:t>0514-80820678</w:t>
      </w:r>
      <w:r>
        <w:rPr>
          <w:rFonts w:hint="eastAsia" w:ascii="宋体" w:hAnsi="宋体" w:eastAsia="宋体" w:cs="宋体"/>
          <w:color w:val="auto"/>
          <w:sz w:val="24"/>
          <w:highlight w:val="none"/>
        </w:rPr>
        <w:t>）。</w:t>
      </w:r>
    </w:p>
    <w:p>
      <w:pPr>
        <w:pStyle w:val="112"/>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2、因投标人填写有误，造成以上信息资料的不实将由投标人承担责任。</w:t>
      </w:r>
    </w:p>
    <w:p>
      <w:pPr>
        <w:pStyle w:val="2"/>
        <w:ind w:firstLine="0" w:firstLineChars="0"/>
        <w:rPr>
          <w:rFonts w:hint="eastAsia" w:ascii="宋体" w:hAnsi="宋体" w:eastAsia="宋体" w:cs="宋体"/>
          <w:color w:val="auto"/>
          <w:highlight w:val="none"/>
        </w:rPr>
      </w:pPr>
    </w:p>
    <w:sectPr>
      <w:pgSz w:w="11906" w:h="16838"/>
      <w:pgMar w:top="1440" w:right="1080" w:bottom="1440" w:left="1080" w:header="851" w:footer="85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Times New Roman"/>
    <w:panose1 w:val="00000000000000000000"/>
    <w:charset w:val="00"/>
    <w:family w:val="roman"/>
    <w:pitch w:val="default"/>
    <w:sig w:usb0="00000000" w:usb1="00000000" w:usb2="00000000" w:usb3="00000000" w:csb0="00000000" w:csb1="00000000"/>
  </w:font>
  <w:font w:name="宋体_GB2312">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59" w:rightChars="171" w:firstLine="7650" w:firstLineChars="42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rPr>
                              <w:rFonts w:hint="eastAsia"/>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rPr>
                        <w:rFonts w:hint="eastAsia"/>
                      </w:rPr>
                      <w:t>18</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w:t>
                    </w:r>
                    <w:r>
                      <w:fldChar w:fldCharType="end"/>
                    </w:r>
                  </w:p>
                </w:txbxContent>
              </v:textbox>
            </v:shape>
          </w:pict>
        </mc:Fallback>
      </mc:AlternateContent>
    </w:r>
  </w:p>
  <w:p>
    <w:pPr>
      <w:pStyle w:val="30"/>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900" w:hanging="900" w:hangingChars="500"/>
      <w:jc w:val="both"/>
      <w:rPr>
        <w:highlight w:val="none"/>
      </w:rPr>
    </w:pPr>
    <w:r>
      <w:rPr>
        <w:rFonts w:hint="eastAsia" w:cs="宋体"/>
        <w:szCs w:val="21"/>
        <w:highlight w:val="none"/>
      </w:rPr>
      <w:t>GZ4</w:t>
    </w:r>
    <w:r>
      <w:rPr>
        <w:rFonts w:hint="eastAsia" w:cs="宋体"/>
        <w:szCs w:val="21"/>
        <w:highlight w:val="none"/>
        <w:lang w:val="en-US" w:eastAsia="zh-CN"/>
      </w:rPr>
      <w:t>5</w:t>
    </w:r>
    <w:r>
      <w:rPr>
        <w:rFonts w:hint="eastAsia" w:cs="宋体"/>
        <w:szCs w:val="21"/>
        <w:highlight w:val="none"/>
      </w:rPr>
      <w:t>8</w:t>
    </w:r>
    <w:r>
      <w:rPr>
        <w:rFonts w:hint="eastAsia" w:ascii="宋体" w:hAnsi="宋体" w:cs="宋体"/>
        <w:szCs w:val="21"/>
        <w:highlight w:val="none"/>
      </w:rPr>
      <w:t xml:space="preserve">地块项目渠道推广服务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JSZCZC2024012</w:t>
    </w:r>
    <w:r>
      <w:rPr>
        <w:rFonts w:hint="eastAsia" w:ascii="宋体" w:hAnsi="宋体" w:cs="宋体"/>
        <w:szCs w:val="21"/>
        <w:highlight w:val="none"/>
      </w:rPr>
      <w:t xml:space="preserve">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szCs w:val="21"/>
        <w:highlight w:val="yellow"/>
      </w:rPr>
      <w:t>GZ427</w:t>
    </w:r>
    <w:r>
      <w:rPr>
        <w:rFonts w:hint="eastAsia" w:ascii="宋体" w:hAnsi="宋体" w:cs="宋体"/>
        <w:szCs w:val="21"/>
        <w:highlight w:val="yellow"/>
      </w:rPr>
      <w:t>、</w:t>
    </w:r>
    <w:r>
      <w:rPr>
        <w:rFonts w:hint="eastAsia" w:cs="宋体"/>
        <w:szCs w:val="21"/>
        <w:highlight w:val="yellow"/>
      </w:rPr>
      <w:t>GZ428</w:t>
    </w:r>
    <w:r>
      <w:rPr>
        <w:rFonts w:hint="eastAsia" w:ascii="宋体" w:hAnsi="宋体" w:cs="宋体"/>
        <w:szCs w:val="21"/>
        <w:highlight w:val="yellow"/>
      </w:rPr>
      <w:t>地块项目供电设计服务项目</w:t>
    </w:r>
    <w:r>
      <w:rPr>
        <w:rFonts w:hint="eastAsia" w:ascii="宋体" w:hAnsi="宋体" w:cs="宋体"/>
        <w:szCs w:val="21"/>
      </w:rPr>
      <w:t xml:space="preserve">                                                         </w:t>
    </w:r>
    <w:r>
      <w:rPr>
        <w:rFonts w:hint="eastAsia" w:cs="宋体"/>
        <w:szCs w:val="21"/>
        <w:highlight w:val="yellow"/>
      </w:rPr>
      <w:t>HXZY202309</w:t>
    </w:r>
    <w:r>
      <w:rPr>
        <w:rFonts w:hint="eastAsia" w:ascii="宋体" w:hAnsi="宋体" w:cs="宋体"/>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E6C8C"/>
    <w:multiLevelType w:val="singleLevel"/>
    <w:tmpl w:val="895E6C8C"/>
    <w:lvl w:ilvl="0" w:tentative="0">
      <w:start w:val="1"/>
      <w:numFmt w:val="decimal"/>
      <w:suff w:val="space"/>
      <w:lvlText w:val="（%1）"/>
      <w:lvlJc w:val="left"/>
    </w:lvl>
  </w:abstractNum>
  <w:abstractNum w:abstractNumId="1">
    <w:nsid w:val="900EE08B"/>
    <w:multiLevelType w:val="singleLevel"/>
    <w:tmpl w:val="900EE08B"/>
    <w:lvl w:ilvl="0" w:tentative="0">
      <w:start w:val="6"/>
      <w:numFmt w:val="chineseCounting"/>
      <w:suff w:val="nothing"/>
      <w:lvlText w:val="%1、"/>
      <w:lvlJc w:val="left"/>
      <w:rPr>
        <w:rFonts w:hint="eastAsia"/>
      </w:rPr>
    </w:lvl>
  </w:abstractNum>
  <w:abstractNum w:abstractNumId="2">
    <w:nsid w:val="A4C241F4"/>
    <w:multiLevelType w:val="singleLevel"/>
    <w:tmpl w:val="A4C241F4"/>
    <w:lvl w:ilvl="0" w:tentative="0">
      <w:start w:val="1"/>
      <w:numFmt w:val="decimal"/>
      <w:suff w:val="nothing"/>
      <w:lvlText w:val="%1、"/>
      <w:lvlJc w:val="left"/>
    </w:lvl>
  </w:abstractNum>
  <w:abstractNum w:abstractNumId="3">
    <w:nsid w:val="B504A254"/>
    <w:multiLevelType w:val="singleLevel"/>
    <w:tmpl w:val="B504A254"/>
    <w:lvl w:ilvl="0" w:tentative="0">
      <w:start w:val="1"/>
      <w:numFmt w:val="decimal"/>
      <w:suff w:val="space"/>
      <w:lvlText w:val="（%1）"/>
      <w:lvlJc w:val="left"/>
    </w:lvl>
  </w:abstractNum>
  <w:abstractNum w:abstractNumId="4">
    <w:nsid w:val="F2540971"/>
    <w:multiLevelType w:val="singleLevel"/>
    <w:tmpl w:val="F2540971"/>
    <w:lvl w:ilvl="0" w:tentative="0">
      <w:start w:val="1"/>
      <w:numFmt w:val="decimal"/>
      <w:suff w:val="space"/>
      <w:lvlText w:val="（%1）"/>
      <w:lvlJc w:val="left"/>
    </w:lvl>
  </w:abstractNum>
  <w:abstractNum w:abstractNumId="5">
    <w:nsid w:val="00000012"/>
    <w:multiLevelType w:val="multilevel"/>
    <w:tmpl w:val="00000012"/>
    <w:lvl w:ilvl="0" w:tentative="0">
      <w:start w:val="1"/>
      <w:numFmt w:val="japaneseCounting"/>
      <w:pStyle w:val="15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C57F53D"/>
    <w:multiLevelType w:val="singleLevel"/>
    <w:tmpl w:val="0C57F53D"/>
    <w:lvl w:ilvl="0" w:tentative="0">
      <w:start w:val="1"/>
      <w:numFmt w:val="decimal"/>
      <w:suff w:val="space"/>
      <w:lvlText w:val="（%1）"/>
      <w:lvlJc w:val="left"/>
    </w:lvl>
  </w:abstractNum>
  <w:abstractNum w:abstractNumId="7">
    <w:nsid w:val="1F52D127"/>
    <w:multiLevelType w:val="singleLevel"/>
    <w:tmpl w:val="1F52D127"/>
    <w:lvl w:ilvl="0" w:tentative="0">
      <w:start w:val="1"/>
      <w:numFmt w:val="decimal"/>
      <w:suff w:val="space"/>
      <w:lvlText w:val="（%1）"/>
      <w:lvlJc w:val="left"/>
    </w:lvl>
  </w:abstractNum>
  <w:abstractNum w:abstractNumId="8">
    <w:nsid w:val="2270674C"/>
    <w:multiLevelType w:val="singleLevel"/>
    <w:tmpl w:val="2270674C"/>
    <w:lvl w:ilvl="0" w:tentative="0">
      <w:start w:val="1"/>
      <w:numFmt w:val="chineseCounting"/>
      <w:suff w:val="nothing"/>
      <w:lvlText w:val="（%1）"/>
      <w:lvlJc w:val="left"/>
      <w:rPr>
        <w:rFonts w:hint="eastAsia"/>
      </w:rPr>
    </w:lvl>
  </w:abstractNum>
  <w:abstractNum w:abstractNumId="9">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36"/>
      <w:isLgl/>
      <w:lvlText w:val="%1.%2"/>
      <w:lvlJc w:val="left"/>
      <w:pPr>
        <w:tabs>
          <w:tab w:val="left" w:pos="851"/>
        </w:tabs>
        <w:ind w:left="0" w:firstLine="0"/>
      </w:pPr>
    </w:lvl>
    <w:lvl w:ilvl="2" w:tentative="0">
      <w:start w:val="1"/>
      <w:numFmt w:val="decimal"/>
      <w:pStyle w:val="137"/>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0">
    <w:nsid w:val="5A1ADC0B"/>
    <w:multiLevelType w:val="singleLevel"/>
    <w:tmpl w:val="5A1ADC0B"/>
    <w:lvl w:ilvl="0" w:tentative="0">
      <w:start w:val="1"/>
      <w:numFmt w:val="decimal"/>
      <w:suff w:val="space"/>
      <w:lvlText w:val="（%1）"/>
      <w:lvlJc w:val="left"/>
    </w:lvl>
  </w:abstractNum>
  <w:abstractNum w:abstractNumId="11">
    <w:nsid w:val="5E929EBA"/>
    <w:multiLevelType w:val="singleLevel"/>
    <w:tmpl w:val="5E929EBA"/>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2">
    <w:nsid w:val="6607547B"/>
    <w:multiLevelType w:val="multilevel"/>
    <w:tmpl w:val="6607547B"/>
    <w:lvl w:ilvl="0" w:tentative="0">
      <w:start w:val="1"/>
      <w:numFmt w:val="bullet"/>
      <w:pStyle w:val="9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66B8F4CE"/>
    <w:multiLevelType w:val="singleLevel"/>
    <w:tmpl w:val="66B8F4CE"/>
    <w:lvl w:ilvl="0" w:tentative="0">
      <w:start w:val="1"/>
      <w:numFmt w:val="decimal"/>
      <w:suff w:val="space"/>
      <w:lvlText w:val="（%1）"/>
      <w:lvlJc w:val="left"/>
    </w:lvl>
  </w:abstractNum>
  <w:abstractNum w:abstractNumId="14">
    <w:nsid w:val="6D830C76"/>
    <w:multiLevelType w:val="multilevel"/>
    <w:tmpl w:val="6D830C76"/>
    <w:lvl w:ilvl="0" w:tentative="0">
      <w:start w:val="1"/>
      <w:numFmt w:val="japaneseCounting"/>
      <w:lvlText w:val="第%1条"/>
      <w:lvlJc w:val="left"/>
      <w:pPr>
        <w:ind w:left="1544"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2E96FE"/>
    <w:multiLevelType w:val="singleLevel"/>
    <w:tmpl w:val="702E96FE"/>
    <w:lvl w:ilvl="0" w:tentative="0">
      <w:start w:val="6"/>
      <w:numFmt w:val="decimal"/>
      <w:lvlText w:val="%1."/>
      <w:lvlJc w:val="left"/>
      <w:pPr>
        <w:tabs>
          <w:tab w:val="left" w:pos="312"/>
        </w:tabs>
      </w:pPr>
    </w:lvl>
  </w:abstractNum>
  <w:abstractNum w:abstractNumId="16">
    <w:nsid w:val="7156BBFA"/>
    <w:multiLevelType w:val="singleLevel"/>
    <w:tmpl w:val="7156BBFA"/>
    <w:lvl w:ilvl="0" w:tentative="0">
      <w:start w:val="1"/>
      <w:numFmt w:val="decimal"/>
      <w:suff w:val="space"/>
      <w:lvlText w:val="（%1）"/>
      <w:lvlJc w:val="left"/>
    </w:lvl>
  </w:abstractNum>
  <w:abstractNum w:abstractNumId="17">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11"/>
      <w:suff w:val="space"/>
      <w:lvlText w:val="%1.%2"/>
      <w:lvlJc w:val="left"/>
      <w:pPr>
        <w:ind w:left="851" w:hanging="567"/>
      </w:pPr>
      <w:rPr>
        <w:rFonts w:hint="default" w:ascii="Arial" w:hAnsi="Arial" w:eastAsia="黑体"/>
        <w:b/>
        <w:i w:val="0"/>
        <w:sz w:val="28"/>
        <w:szCs w:val="28"/>
      </w:rPr>
    </w:lvl>
    <w:lvl w:ilvl="2" w:tentative="0">
      <w:start w:val="1"/>
      <w:numFmt w:val="decimal"/>
      <w:pStyle w:val="1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7F48B00A"/>
    <w:multiLevelType w:val="singleLevel"/>
    <w:tmpl w:val="7F48B00A"/>
    <w:lvl w:ilvl="0" w:tentative="0">
      <w:start w:val="1"/>
      <w:numFmt w:val="decimal"/>
      <w:suff w:val="space"/>
      <w:lvlText w:val="（%1）"/>
      <w:lvlJc w:val="left"/>
    </w:lvl>
  </w:abstractNum>
  <w:num w:numId="1">
    <w:abstractNumId w:val="17"/>
  </w:num>
  <w:num w:numId="2">
    <w:abstractNumId w:val="11"/>
  </w:num>
  <w:num w:numId="3">
    <w:abstractNumId w:val="12"/>
  </w:num>
  <w:num w:numId="4">
    <w:abstractNumId w:val="9"/>
  </w:num>
  <w:num w:numId="5">
    <w:abstractNumId w:val="5"/>
  </w:num>
  <w:num w:numId="6">
    <w:abstractNumId w:val="1"/>
  </w:num>
  <w:num w:numId="7">
    <w:abstractNumId w:val="14"/>
  </w:num>
  <w:num w:numId="8">
    <w:abstractNumId w:val="4"/>
  </w:num>
  <w:num w:numId="9">
    <w:abstractNumId w:val="0"/>
  </w:num>
  <w:num w:numId="10">
    <w:abstractNumId w:val="13"/>
  </w:num>
  <w:num w:numId="11">
    <w:abstractNumId w:val="7"/>
  </w:num>
  <w:num w:numId="12">
    <w:abstractNumId w:val="3"/>
  </w:num>
  <w:num w:numId="13">
    <w:abstractNumId w:val="6"/>
  </w:num>
  <w:num w:numId="14">
    <w:abstractNumId w:val="18"/>
  </w:num>
  <w:num w:numId="15">
    <w:abstractNumId w:val="10"/>
  </w:num>
  <w:num w:numId="16">
    <w:abstractNumId w:val="8"/>
  </w:num>
  <w:num w:numId="17">
    <w:abstractNumId w:val="16"/>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DQ1N2UxNGMwYWQ4Mzc2NzY2YjM3ZjU0YjlkZTYifQ=="/>
  </w:docVars>
  <w:rsids>
    <w:rsidRoot w:val="00172A27"/>
    <w:rsid w:val="000019C0"/>
    <w:rsid w:val="00005E6E"/>
    <w:rsid w:val="00007D25"/>
    <w:rsid w:val="00014890"/>
    <w:rsid w:val="00020C65"/>
    <w:rsid w:val="00022909"/>
    <w:rsid w:val="000230C2"/>
    <w:rsid w:val="00025D01"/>
    <w:rsid w:val="00026B8D"/>
    <w:rsid w:val="0002713F"/>
    <w:rsid w:val="00030EDB"/>
    <w:rsid w:val="000331D9"/>
    <w:rsid w:val="00033E6F"/>
    <w:rsid w:val="0003498A"/>
    <w:rsid w:val="000364ED"/>
    <w:rsid w:val="00037C5C"/>
    <w:rsid w:val="00043982"/>
    <w:rsid w:val="000501AB"/>
    <w:rsid w:val="0005057F"/>
    <w:rsid w:val="0005461D"/>
    <w:rsid w:val="00055C49"/>
    <w:rsid w:val="0005601C"/>
    <w:rsid w:val="00060B5D"/>
    <w:rsid w:val="000630A3"/>
    <w:rsid w:val="00064477"/>
    <w:rsid w:val="0009143A"/>
    <w:rsid w:val="0009296E"/>
    <w:rsid w:val="000A0255"/>
    <w:rsid w:val="000A22CA"/>
    <w:rsid w:val="000A2F11"/>
    <w:rsid w:val="000A4164"/>
    <w:rsid w:val="000A7E30"/>
    <w:rsid w:val="000B77F1"/>
    <w:rsid w:val="000C0061"/>
    <w:rsid w:val="000C1CD5"/>
    <w:rsid w:val="000C72B8"/>
    <w:rsid w:val="000C777A"/>
    <w:rsid w:val="000D2D26"/>
    <w:rsid w:val="000E56D9"/>
    <w:rsid w:val="000E6A96"/>
    <w:rsid w:val="000F0C64"/>
    <w:rsid w:val="000F6519"/>
    <w:rsid w:val="0010324D"/>
    <w:rsid w:val="001044D2"/>
    <w:rsid w:val="001058CC"/>
    <w:rsid w:val="00125695"/>
    <w:rsid w:val="00127EF3"/>
    <w:rsid w:val="001319B7"/>
    <w:rsid w:val="00137FC8"/>
    <w:rsid w:val="001422C1"/>
    <w:rsid w:val="001576A2"/>
    <w:rsid w:val="0016427C"/>
    <w:rsid w:val="00165EE7"/>
    <w:rsid w:val="001668E3"/>
    <w:rsid w:val="00167C66"/>
    <w:rsid w:val="00172A27"/>
    <w:rsid w:val="001730CE"/>
    <w:rsid w:val="00177C17"/>
    <w:rsid w:val="001846A1"/>
    <w:rsid w:val="001907F8"/>
    <w:rsid w:val="00196D12"/>
    <w:rsid w:val="001A0514"/>
    <w:rsid w:val="001A5C95"/>
    <w:rsid w:val="001B54EF"/>
    <w:rsid w:val="001C3AD3"/>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B8C"/>
    <w:rsid w:val="00251D06"/>
    <w:rsid w:val="00254988"/>
    <w:rsid w:val="00255987"/>
    <w:rsid w:val="00263341"/>
    <w:rsid w:val="002712D3"/>
    <w:rsid w:val="0027213B"/>
    <w:rsid w:val="00273BDC"/>
    <w:rsid w:val="00285783"/>
    <w:rsid w:val="00292B39"/>
    <w:rsid w:val="002A017F"/>
    <w:rsid w:val="002A410A"/>
    <w:rsid w:val="002A6AB3"/>
    <w:rsid w:val="002A6BDE"/>
    <w:rsid w:val="002A7DE0"/>
    <w:rsid w:val="002B709D"/>
    <w:rsid w:val="002B7AD1"/>
    <w:rsid w:val="002C2B49"/>
    <w:rsid w:val="002C5259"/>
    <w:rsid w:val="002C7385"/>
    <w:rsid w:val="002D10E7"/>
    <w:rsid w:val="002D1702"/>
    <w:rsid w:val="002D5601"/>
    <w:rsid w:val="002E1845"/>
    <w:rsid w:val="002E408E"/>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568DE"/>
    <w:rsid w:val="00361FEA"/>
    <w:rsid w:val="003627B3"/>
    <w:rsid w:val="003627BF"/>
    <w:rsid w:val="00364779"/>
    <w:rsid w:val="00365754"/>
    <w:rsid w:val="00367458"/>
    <w:rsid w:val="00367B30"/>
    <w:rsid w:val="003714BD"/>
    <w:rsid w:val="00375C05"/>
    <w:rsid w:val="00376AF7"/>
    <w:rsid w:val="00380814"/>
    <w:rsid w:val="0038516A"/>
    <w:rsid w:val="003903A2"/>
    <w:rsid w:val="00392B26"/>
    <w:rsid w:val="003A220A"/>
    <w:rsid w:val="003A359C"/>
    <w:rsid w:val="003A4968"/>
    <w:rsid w:val="003A7F58"/>
    <w:rsid w:val="003B5703"/>
    <w:rsid w:val="003C3B82"/>
    <w:rsid w:val="003C7A2E"/>
    <w:rsid w:val="003D6D88"/>
    <w:rsid w:val="003E5365"/>
    <w:rsid w:val="003E5E22"/>
    <w:rsid w:val="003E7761"/>
    <w:rsid w:val="00402ECA"/>
    <w:rsid w:val="004145D2"/>
    <w:rsid w:val="00420A7D"/>
    <w:rsid w:val="004218C8"/>
    <w:rsid w:val="004253F5"/>
    <w:rsid w:val="00425826"/>
    <w:rsid w:val="00433DC9"/>
    <w:rsid w:val="00443F99"/>
    <w:rsid w:val="004564BC"/>
    <w:rsid w:val="00462A9D"/>
    <w:rsid w:val="00463F0D"/>
    <w:rsid w:val="004716A9"/>
    <w:rsid w:val="00471B4B"/>
    <w:rsid w:val="00472F78"/>
    <w:rsid w:val="00475065"/>
    <w:rsid w:val="004751C3"/>
    <w:rsid w:val="00480AAD"/>
    <w:rsid w:val="00480B1F"/>
    <w:rsid w:val="00493AE2"/>
    <w:rsid w:val="004A5A08"/>
    <w:rsid w:val="004B1EF9"/>
    <w:rsid w:val="004C1807"/>
    <w:rsid w:val="004C5637"/>
    <w:rsid w:val="004D495D"/>
    <w:rsid w:val="004E3BE6"/>
    <w:rsid w:val="004F4841"/>
    <w:rsid w:val="00502382"/>
    <w:rsid w:val="00506853"/>
    <w:rsid w:val="0051416B"/>
    <w:rsid w:val="00516709"/>
    <w:rsid w:val="00551E71"/>
    <w:rsid w:val="0055727C"/>
    <w:rsid w:val="005717B7"/>
    <w:rsid w:val="0057433B"/>
    <w:rsid w:val="00577078"/>
    <w:rsid w:val="00577FA0"/>
    <w:rsid w:val="00586D59"/>
    <w:rsid w:val="00593904"/>
    <w:rsid w:val="005A52A9"/>
    <w:rsid w:val="005A54DE"/>
    <w:rsid w:val="005A5850"/>
    <w:rsid w:val="005B2833"/>
    <w:rsid w:val="005B30AF"/>
    <w:rsid w:val="005B32FB"/>
    <w:rsid w:val="005B4240"/>
    <w:rsid w:val="005B4574"/>
    <w:rsid w:val="005B68FA"/>
    <w:rsid w:val="005C1A26"/>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2EEB"/>
    <w:rsid w:val="00633A95"/>
    <w:rsid w:val="006462A5"/>
    <w:rsid w:val="00661737"/>
    <w:rsid w:val="0066614C"/>
    <w:rsid w:val="00671FA3"/>
    <w:rsid w:val="00673D67"/>
    <w:rsid w:val="00676312"/>
    <w:rsid w:val="00677EBE"/>
    <w:rsid w:val="006823E6"/>
    <w:rsid w:val="00685F29"/>
    <w:rsid w:val="00693368"/>
    <w:rsid w:val="006951DB"/>
    <w:rsid w:val="00697B16"/>
    <w:rsid w:val="006B5E2B"/>
    <w:rsid w:val="006C0C9A"/>
    <w:rsid w:val="006C2E2C"/>
    <w:rsid w:val="006D2617"/>
    <w:rsid w:val="006E0E28"/>
    <w:rsid w:val="006F1536"/>
    <w:rsid w:val="006F5E47"/>
    <w:rsid w:val="006F6381"/>
    <w:rsid w:val="0070025B"/>
    <w:rsid w:val="00701BB9"/>
    <w:rsid w:val="00713DEA"/>
    <w:rsid w:val="00720170"/>
    <w:rsid w:val="00721072"/>
    <w:rsid w:val="007270CE"/>
    <w:rsid w:val="00730B81"/>
    <w:rsid w:val="00730E59"/>
    <w:rsid w:val="0073562C"/>
    <w:rsid w:val="0074004C"/>
    <w:rsid w:val="007408A5"/>
    <w:rsid w:val="007418BD"/>
    <w:rsid w:val="00745DFA"/>
    <w:rsid w:val="00756B64"/>
    <w:rsid w:val="007603F4"/>
    <w:rsid w:val="007617BF"/>
    <w:rsid w:val="00763383"/>
    <w:rsid w:val="007701BF"/>
    <w:rsid w:val="00772B32"/>
    <w:rsid w:val="0077335F"/>
    <w:rsid w:val="00781E36"/>
    <w:rsid w:val="00791C72"/>
    <w:rsid w:val="007A2EFB"/>
    <w:rsid w:val="007A5DFE"/>
    <w:rsid w:val="007B273A"/>
    <w:rsid w:val="007B2C11"/>
    <w:rsid w:val="007B35C1"/>
    <w:rsid w:val="007B3A4C"/>
    <w:rsid w:val="007B55FD"/>
    <w:rsid w:val="007B590F"/>
    <w:rsid w:val="007B6C63"/>
    <w:rsid w:val="007C00B9"/>
    <w:rsid w:val="007C1DF2"/>
    <w:rsid w:val="007C27D4"/>
    <w:rsid w:val="007D3281"/>
    <w:rsid w:val="007D6EB2"/>
    <w:rsid w:val="007E136C"/>
    <w:rsid w:val="007E19BA"/>
    <w:rsid w:val="007E49AA"/>
    <w:rsid w:val="007F0DD4"/>
    <w:rsid w:val="007F3DF5"/>
    <w:rsid w:val="007F5486"/>
    <w:rsid w:val="007F67ED"/>
    <w:rsid w:val="00803647"/>
    <w:rsid w:val="00804681"/>
    <w:rsid w:val="008075FB"/>
    <w:rsid w:val="00811ACF"/>
    <w:rsid w:val="0081258C"/>
    <w:rsid w:val="00826ACF"/>
    <w:rsid w:val="00830898"/>
    <w:rsid w:val="00836B63"/>
    <w:rsid w:val="008442E0"/>
    <w:rsid w:val="00856255"/>
    <w:rsid w:val="008656DE"/>
    <w:rsid w:val="00865FCE"/>
    <w:rsid w:val="00867902"/>
    <w:rsid w:val="00871A87"/>
    <w:rsid w:val="008757ED"/>
    <w:rsid w:val="00881C5B"/>
    <w:rsid w:val="00884235"/>
    <w:rsid w:val="008902E7"/>
    <w:rsid w:val="00892A7C"/>
    <w:rsid w:val="008A2A68"/>
    <w:rsid w:val="008B2F0E"/>
    <w:rsid w:val="008B74F0"/>
    <w:rsid w:val="008C20AE"/>
    <w:rsid w:val="008D0AD3"/>
    <w:rsid w:val="008D68A0"/>
    <w:rsid w:val="008E1A4F"/>
    <w:rsid w:val="008E3AB9"/>
    <w:rsid w:val="008E68EE"/>
    <w:rsid w:val="008E7FCB"/>
    <w:rsid w:val="008F21F7"/>
    <w:rsid w:val="008F2A60"/>
    <w:rsid w:val="008F572D"/>
    <w:rsid w:val="00920789"/>
    <w:rsid w:val="00920BA6"/>
    <w:rsid w:val="00927C99"/>
    <w:rsid w:val="00933C04"/>
    <w:rsid w:val="00952D5A"/>
    <w:rsid w:val="00957669"/>
    <w:rsid w:val="00960CA2"/>
    <w:rsid w:val="00963830"/>
    <w:rsid w:val="009651A0"/>
    <w:rsid w:val="00970D8F"/>
    <w:rsid w:val="00973A82"/>
    <w:rsid w:val="00974AE3"/>
    <w:rsid w:val="00986D27"/>
    <w:rsid w:val="00986F99"/>
    <w:rsid w:val="00990D24"/>
    <w:rsid w:val="009911BA"/>
    <w:rsid w:val="00995A0D"/>
    <w:rsid w:val="009A21AF"/>
    <w:rsid w:val="009A38E2"/>
    <w:rsid w:val="009A751C"/>
    <w:rsid w:val="009B51EC"/>
    <w:rsid w:val="009B6A3A"/>
    <w:rsid w:val="009C3845"/>
    <w:rsid w:val="009C3DE3"/>
    <w:rsid w:val="009C509B"/>
    <w:rsid w:val="009C6F8D"/>
    <w:rsid w:val="009D2803"/>
    <w:rsid w:val="009D6BA2"/>
    <w:rsid w:val="009D6EAF"/>
    <w:rsid w:val="009E19AE"/>
    <w:rsid w:val="009E3DDC"/>
    <w:rsid w:val="009E4B9B"/>
    <w:rsid w:val="009E741A"/>
    <w:rsid w:val="009F66F4"/>
    <w:rsid w:val="00A04163"/>
    <w:rsid w:val="00A1683E"/>
    <w:rsid w:val="00A236EE"/>
    <w:rsid w:val="00A25B37"/>
    <w:rsid w:val="00A32FE7"/>
    <w:rsid w:val="00A35630"/>
    <w:rsid w:val="00A3636C"/>
    <w:rsid w:val="00A4003E"/>
    <w:rsid w:val="00A41612"/>
    <w:rsid w:val="00A50AFF"/>
    <w:rsid w:val="00A51774"/>
    <w:rsid w:val="00A55F85"/>
    <w:rsid w:val="00A5775D"/>
    <w:rsid w:val="00A632CA"/>
    <w:rsid w:val="00A758C0"/>
    <w:rsid w:val="00A87A1D"/>
    <w:rsid w:val="00A929BA"/>
    <w:rsid w:val="00A9434B"/>
    <w:rsid w:val="00AA555A"/>
    <w:rsid w:val="00AB525E"/>
    <w:rsid w:val="00AB6A34"/>
    <w:rsid w:val="00AB6E4A"/>
    <w:rsid w:val="00AC5138"/>
    <w:rsid w:val="00AC575E"/>
    <w:rsid w:val="00AC6A6E"/>
    <w:rsid w:val="00AD65CC"/>
    <w:rsid w:val="00AE30E6"/>
    <w:rsid w:val="00AE4496"/>
    <w:rsid w:val="00AE5A59"/>
    <w:rsid w:val="00AF3E25"/>
    <w:rsid w:val="00B01D59"/>
    <w:rsid w:val="00B041B7"/>
    <w:rsid w:val="00B07122"/>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C2A7D"/>
    <w:rsid w:val="00BD3533"/>
    <w:rsid w:val="00BD4032"/>
    <w:rsid w:val="00BD5C25"/>
    <w:rsid w:val="00BF40C7"/>
    <w:rsid w:val="00BF4E28"/>
    <w:rsid w:val="00C00619"/>
    <w:rsid w:val="00C02E20"/>
    <w:rsid w:val="00C11AB0"/>
    <w:rsid w:val="00C122CB"/>
    <w:rsid w:val="00C123F6"/>
    <w:rsid w:val="00C14E04"/>
    <w:rsid w:val="00C24AA4"/>
    <w:rsid w:val="00C2780C"/>
    <w:rsid w:val="00C304CA"/>
    <w:rsid w:val="00C315A0"/>
    <w:rsid w:val="00C37562"/>
    <w:rsid w:val="00C41ADB"/>
    <w:rsid w:val="00C45EAD"/>
    <w:rsid w:val="00C4767D"/>
    <w:rsid w:val="00C52BA3"/>
    <w:rsid w:val="00C52E5B"/>
    <w:rsid w:val="00C551F6"/>
    <w:rsid w:val="00C567D8"/>
    <w:rsid w:val="00C61265"/>
    <w:rsid w:val="00C6205B"/>
    <w:rsid w:val="00C65E3A"/>
    <w:rsid w:val="00C75D6B"/>
    <w:rsid w:val="00C767FF"/>
    <w:rsid w:val="00C87D28"/>
    <w:rsid w:val="00C90B34"/>
    <w:rsid w:val="00C94B36"/>
    <w:rsid w:val="00CA15C5"/>
    <w:rsid w:val="00CB5834"/>
    <w:rsid w:val="00CB5C0F"/>
    <w:rsid w:val="00CB70BE"/>
    <w:rsid w:val="00CC26FE"/>
    <w:rsid w:val="00CC498A"/>
    <w:rsid w:val="00CD4C1B"/>
    <w:rsid w:val="00CD620C"/>
    <w:rsid w:val="00CD7C00"/>
    <w:rsid w:val="00CE1044"/>
    <w:rsid w:val="00CE2814"/>
    <w:rsid w:val="00CF013C"/>
    <w:rsid w:val="00CF01C3"/>
    <w:rsid w:val="00D014A8"/>
    <w:rsid w:val="00D05A20"/>
    <w:rsid w:val="00D1539F"/>
    <w:rsid w:val="00D239E5"/>
    <w:rsid w:val="00D32713"/>
    <w:rsid w:val="00D42281"/>
    <w:rsid w:val="00D43768"/>
    <w:rsid w:val="00D60E8F"/>
    <w:rsid w:val="00DA0464"/>
    <w:rsid w:val="00DB24C3"/>
    <w:rsid w:val="00DB3030"/>
    <w:rsid w:val="00DB68F4"/>
    <w:rsid w:val="00DC6555"/>
    <w:rsid w:val="00DC715B"/>
    <w:rsid w:val="00DD142C"/>
    <w:rsid w:val="00DD4670"/>
    <w:rsid w:val="00DE3616"/>
    <w:rsid w:val="00DE6968"/>
    <w:rsid w:val="00DF1158"/>
    <w:rsid w:val="00DF62F4"/>
    <w:rsid w:val="00E00FEC"/>
    <w:rsid w:val="00E103D1"/>
    <w:rsid w:val="00E206B8"/>
    <w:rsid w:val="00E22AAF"/>
    <w:rsid w:val="00E2356F"/>
    <w:rsid w:val="00E32AC6"/>
    <w:rsid w:val="00E35949"/>
    <w:rsid w:val="00E41FD0"/>
    <w:rsid w:val="00E42A08"/>
    <w:rsid w:val="00E42E49"/>
    <w:rsid w:val="00E43018"/>
    <w:rsid w:val="00E47470"/>
    <w:rsid w:val="00E530D0"/>
    <w:rsid w:val="00E67802"/>
    <w:rsid w:val="00E71638"/>
    <w:rsid w:val="00E76934"/>
    <w:rsid w:val="00E76F5E"/>
    <w:rsid w:val="00E80B01"/>
    <w:rsid w:val="00E85B6E"/>
    <w:rsid w:val="00E90896"/>
    <w:rsid w:val="00E939A6"/>
    <w:rsid w:val="00E975B4"/>
    <w:rsid w:val="00EA5F34"/>
    <w:rsid w:val="00EA7024"/>
    <w:rsid w:val="00EB2F61"/>
    <w:rsid w:val="00EC5569"/>
    <w:rsid w:val="00ED340C"/>
    <w:rsid w:val="00ED45A4"/>
    <w:rsid w:val="00ED50B0"/>
    <w:rsid w:val="00EE0B3F"/>
    <w:rsid w:val="00EE2B02"/>
    <w:rsid w:val="00EE6300"/>
    <w:rsid w:val="00EF249C"/>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21E7"/>
    <w:rsid w:val="00FA3820"/>
    <w:rsid w:val="00FB0910"/>
    <w:rsid w:val="00FB5806"/>
    <w:rsid w:val="00FB6CBD"/>
    <w:rsid w:val="00FD2B76"/>
    <w:rsid w:val="00FD4826"/>
    <w:rsid w:val="00FF3189"/>
    <w:rsid w:val="010A3F89"/>
    <w:rsid w:val="01147664"/>
    <w:rsid w:val="014852B3"/>
    <w:rsid w:val="014A20AA"/>
    <w:rsid w:val="014F6641"/>
    <w:rsid w:val="015661FD"/>
    <w:rsid w:val="015754F6"/>
    <w:rsid w:val="016A385C"/>
    <w:rsid w:val="0190002F"/>
    <w:rsid w:val="01AF3871"/>
    <w:rsid w:val="01B2363B"/>
    <w:rsid w:val="01E62509"/>
    <w:rsid w:val="01FC1D65"/>
    <w:rsid w:val="02391CBE"/>
    <w:rsid w:val="02864546"/>
    <w:rsid w:val="0295174E"/>
    <w:rsid w:val="02A129E4"/>
    <w:rsid w:val="02C32E43"/>
    <w:rsid w:val="0318608E"/>
    <w:rsid w:val="0327540B"/>
    <w:rsid w:val="033F7FE7"/>
    <w:rsid w:val="0366524E"/>
    <w:rsid w:val="03774BB7"/>
    <w:rsid w:val="037F7583"/>
    <w:rsid w:val="03803476"/>
    <w:rsid w:val="039F3184"/>
    <w:rsid w:val="03D17ED7"/>
    <w:rsid w:val="03DB186A"/>
    <w:rsid w:val="03DF1EFE"/>
    <w:rsid w:val="0400691B"/>
    <w:rsid w:val="04025AD9"/>
    <w:rsid w:val="041B7F09"/>
    <w:rsid w:val="0443753C"/>
    <w:rsid w:val="045A5870"/>
    <w:rsid w:val="047249C9"/>
    <w:rsid w:val="04744FA3"/>
    <w:rsid w:val="047520C3"/>
    <w:rsid w:val="04812218"/>
    <w:rsid w:val="04903AD9"/>
    <w:rsid w:val="04B87651"/>
    <w:rsid w:val="04B94150"/>
    <w:rsid w:val="0529090D"/>
    <w:rsid w:val="052C3508"/>
    <w:rsid w:val="053262C9"/>
    <w:rsid w:val="05621969"/>
    <w:rsid w:val="056260C9"/>
    <w:rsid w:val="058014BF"/>
    <w:rsid w:val="0588096E"/>
    <w:rsid w:val="059252BD"/>
    <w:rsid w:val="059960EF"/>
    <w:rsid w:val="059D1295"/>
    <w:rsid w:val="05A36F5B"/>
    <w:rsid w:val="05A73AFD"/>
    <w:rsid w:val="05A8296F"/>
    <w:rsid w:val="05A84572"/>
    <w:rsid w:val="05C07B0D"/>
    <w:rsid w:val="05C77851"/>
    <w:rsid w:val="05C926CC"/>
    <w:rsid w:val="05E4431E"/>
    <w:rsid w:val="05E732EC"/>
    <w:rsid w:val="061B066C"/>
    <w:rsid w:val="06492499"/>
    <w:rsid w:val="064A7E91"/>
    <w:rsid w:val="06810BA8"/>
    <w:rsid w:val="0682512E"/>
    <w:rsid w:val="068E55C1"/>
    <w:rsid w:val="06911C3B"/>
    <w:rsid w:val="06AF5879"/>
    <w:rsid w:val="06D42563"/>
    <w:rsid w:val="06E0758E"/>
    <w:rsid w:val="06EE6E7F"/>
    <w:rsid w:val="070236A1"/>
    <w:rsid w:val="07287718"/>
    <w:rsid w:val="07661F59"/>
    <w:rsid w:val="07807B2F"/>
    <w:rsid w:val="07960924"/>
    <w:rsid w:val="07A95FE9"/>
    <w:rsid w:val="07B40EAC"/>
    <w:rsid w:val="07B81938"/>
    <w:rsid w:val="080F2686"/>
    <w:rsid w:val="08190F56"/>
    <w:rsid w:val="08393538"/>
    <w:rsid w:val="08456EC3"/>
    <w:rsid w:val="087E0C00"/>
    <w:rsid w:val="088A56FB"/>
    <w:rsid w:val="089D5EE4"/>
    <w:rsid w:val="08A454C4"/>
    <w:rsid w:val="08AF5C79"/>
    <w:rsid w:val="08B17DA8"/>
    <w:rsid w:val="08E44CFD"/>
    <w:rsid w:val="08FF7E5C"/>
    <w:rsid w:val="090D5C29"/>
    <w:rsid w:val="09366338"/>
    <w:rsid w:val="093D1475"/>
    <w:rsid w:val="0941247D"/>
    <w:rsid w:val="09AD2157"/>
    <w:rsid w:val="09AF0299"/>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57C00"/>
    <w:rsid w:val="0B562C66"/>
    <w:rsid w:val="0B63054C"/>
    <w:rsid w:val="0B76745B"/>
    <w:rsid w:val="0B790F87"/>
    <w:rsid w:val="0B937386"/>
    <w:rsid w:val="0BA913B1"/>
    <w:rsid w:val="0BA92DF2"/>
    <w:rsid w:val="0BB80A2A"/>
    <w:rsid w:val="0C1500FB"/>
    <w:rsid w:val="0C1E3FB3"/>
    <w:rsid w:val="0C2C71EC"/>
    <w:rsid w:val="0C460641"/>
    <w:rsid w:val="0C646C7F"/>
    <w:rsid w:val="0C6D59CB"/>
    <w:rsid w:val="0C8147C0"/>
    <w:rsid w:val="0CA46614"/>
    <w:rsid w:val="0CDB33A0"/>
    <w:rsid w:val="0CE36C56"/>
    <w:rsid w:val="0D051C6D"/>
    <w:rsid w:val="0D167985"/>
    <w:rsid w:val="0D3D4789"/>
    <w:rsid w:val="0D975B9D"/>
    <w:rsid w:val="0D9A1F60"/>
    <w:rsid w:val="0DA05E56"/>
    <w:rsid w:val="0DBF3E85"/>
    <w:rsid w:val="0DC83A03"/>
    <w:rsid w:val="0E0808D3"/>
    <w:rsid w:val="0E2826F4"/>
    <w:rsid w:val="0E6949F8"/>
    <w:rsid w:val="0EB75826"/>
    <w:rsid w:val="0EBE0962"/>
    <w:rsid w:val="0EE762C8"/>
    <w:rsid w:val="0EEC0458"/>
    <w:rsid w:val="0EF53995"/>
    <w:rsid w:val="0EFB2099"/>
    <w:rsid w:val="0F0634FD"/>
    <w:rsid w:val="0F221C81"/>
    <w:rsid w:val="0F3D5D2B"/>
    <w:rsid w:val="0F783207"/>
    <w:rsid w:val="0F897EFA"/>
    <w:rsid w:val="0FC50B86"/>
    <w:rsid w:val="0FCD78B5"/>
    <w:rsid w:val="0FF231C2"/>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6465C8"/>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54396"/>
    <w:rsid w:val="126953E9"/>
    <w:rsid w:val="127016BC"/>
    <w:rsid w:val="12766ADD"/>
    <w:rsid w:val="127E0401"/>
    <w:rsid w:val="12976FDC"/>
    <w:rsid w:val="12A367ED"/>
    <w:rsid w:val="12A56756"/>
    <w:rsid w:val="12A94511"/>
    <w:rsid w:val="12AA3B32"/>
    <w:rsid w:val="12BF1B25"/>
    <w:rsid w:val="132114D3"/>
    <w:rsid w:val="13323552"/>
    <w:rsid w:val="133D3A0D"/>
    <w:rsid w:val="13496C75"/>
    <w:rsid w:val="135561EF"/>
    <w:rsid w:val="135810F3"/>
    <w:rsid w:val="13885631"/>
    <w:rsid w:val="13BA7BCB"/>
    <w:rsid w:val="13CD0E50"/>
    <w:rsid w:val="13FF5F47"/>
    <w:rsid w:val="14240AE9"/>
    <w:rsid w:val="142D5748"/>
    <w:rsid w:val="14434554"/>
    <w:rsid w:val="1461426A"/>
    <w:rsid w:val="14695E50"/>
    <w:rsid w:val="14A357D1"/>
    <w:rsid w:val="14C85AED"/>
    <w:rsid w:val="14F047C6"/>
    <w:rsid w:val="14F52974"/>
    <w:rsid w:val="150311A8"/>
    <w:rsid w:val="150F4C6A"/>
    <w:rsid w:val="15152BD4"/>
    <w:rsid w:val="15387EE4"/>
    <w:rsid w:val="153A0547"/>
    <w:rsid w:val="153C476C"/>
    <w:rsid w:val="155618F4"/>
    <w:rsid w:val="158226E9"/>
    <w:rsid w:val="15945E76"/>
    <w:rsid w:val="15950236"/>
    <w:rsid w:val="15AE56B5"/>
    <w:rsid w:val="15B115CA"/>
    <w:rsid w:val="15C3496C"/>
    <w:rsid w:val="15D102A5"/>
    <w:rsid w:val="15D1381B"/>
    <w:rsid w:val="15DD16E1"/>
    <w:rsid w:val="16296601"/>
    <w:rsid w:val="16666B06"/>
    <w:rsid w:val="167F4E7B"/>
    <w:rsid w:val="16985F3D"/>
    <w:rsid w:val="16B34B25"/>
    <w:rsid w:val="16B41E5A"/>
    <w:rsid w:val="16C1342F"/>
    <w:rsid w:val="16D64677"/>
    <w:rsid w:val="17191DC0"/>
    <w:rsid w:val="17491AC6"/>
    <w:rsid w:val="17575A01"/>
    <w:rsid w:val="1782477B"/>
    <w:rsid w:val="1787048B"/>
    <w:rsid w:val="17D31922"/>
    <w:rsid w:val="17DE5A58"/>
    <w:rsid w:val="181028E7"/>
    <w:rsid w:val="18232B29"/>
    <w:rsid w:val="18417CC1"/>
    <w:rsid w:val="184B770B"/>
    <w:rsid w:val="18553EFB"/>
    <w:rsid w:val="185A794E"/>
    <w:rsid w:val="189A33B7"/>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70A6A"/>
    <w:rsid w:val="1ABE351D"/>
    <w:rsid w:val="1AD34D95"/>
    <w:rsid w:val="1ADD0F40"/>
    <w:rsid w:val="1B083F18"/>
    <w:rsid w:val="1B1B7A0F"/>
    <w:rsid w:val="1B252495"/>
    <w:rsid w:val="1B34646B"/>
    <w:rsid w:val="1B4D19EC"/>
    <w:rsid w:val="1B9A3332"/>
    <w:rsid w:val="1B9A77D0"/>
    <w:rsid w:val="1B9F2C45"/>
    <w:rsid w:val="1BB515CF"/>
    <w:rsid w:val="1BD96D89"/>
    <w:rsid w:val="1BF57B70"/>
    <w:rsid w:val="1BF6521E"/>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790232"/>
    <w:rsid w:val="1E7F5C66"/>
    <w:rsid w:val="1E9B2A6E"/>
    <w:rsid w:val="1EA638ED"/>
    <w:rsid w:val="1EA742AC"/>
    <w:rsid w:val="1EC73863"/>
    <w:rsid w:val="1ED23F64"/>
    <w:rsid w:val="1F2A4B98"/>
    <w:rsid w:val="1F526BC6"/>
    <w:rsid w:val="1F865520"/>
    <w:rsid w:val="1FB24C3A"/>
    <w:rsid w:val="1FDF0657"/>
    <w:rsid w:val="1FE65CE6"/>
    <w:rsid w:val="1FE8604B"/>
    <w:rsid w:val="1FF2569A"/>
    <w:rsid w:val="1FF463D5"/>
    <w:rsid w:val="1FFC578E"/>
    <w:rsid w:val="20167523"/>
    <w:rsid w:val="202B4220"/>
    <w:rsid w:val="204B0E18"/>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8C5FB2"/>
    <w:rsid w:val="21986C3E"/>
    <w:rsid w:val="21B87493"/>
    <w:rsid w:val="21BE1530"/>
    <w:rsid w:val="21C10A3D"/>
    <w:rsid w:val="21E21FC2"/>
    <w:rsid w:val="21EB7F04"/>
    <w:rsid w:val="22001566"/>
    <w:rsid w:val="220D13B9"/>
    <w:rsid w:val="22192027"/>
    <w:rsid w:val="223F0F06"/>
    <w:rsid w:val="2242450B"/>
    <w:rsid w:val="22523B67"/>
    <w:rsid w:val="225C58BC"/>
    <w:rsid w:val="229A2632"/>
    <w:rsid w:val="229C4140"/>
    <w:rsid w:val="22A36B16"/>
    <w:rsid w:val="22D33263"/>
    <w:rsid w:val="22DF513C"/>
    <w:rsid w:val="22F10EAE"/>
    <w:rsid w:val="22F12B28"/>
    <w:rsid w:val="23097672"/>
    <w:rsid w:val="23273BEB"/>
    <w:rsid w:val="233B35C2"/>
    <w:rsid w:val="23647A30"/>
    <w:rsid w:val="23864075"/>
    <w:rsid w:val="23A14683"/>
    <w:rsid w:val="23BF7C0E"/>
    <w:rsid w:val="23CC2EB8"/>
    <w:rsid w:val="23D73D77"/>
    <w:rsid w:val="23D90C2C"/>
    <w:rsid w:val="23E01FBA"/>
    <w:rsid w:val="23EA427B"/>
    <w:rsid w:val="23F636C6"/>
    <w:rsid w:val="240E6855"/>
    <w:rsid w:val="24540B16"/>
    <w:rsid w:val="24875A2C"/>
    <w:rsid w:val="24B62301"/>
    <w:rsid w:val="24CD6BFD"/>
    <w:rsid w:val="24E20A12"/>
    <w:rsid w:val="24F96F87"/>
    <w:rsid w:val="250B10EA"/>
    <w:rsid w:val="250F2A44"/>
    <w:rsid w:val="252D4BC0"/>
    <w:rsid w:val="25583467"/>
    <w:rsid w:val="256A5F77"/>
    <w:rsid w:val="25743E32"/>
    <w:rsid w:val="257A0918"/>
    <w:rsid w:val="257C3E8D"/>
    <w:rsid w:val="25975E02"/>
    <w:rsid w:val="25B74631"/>
    <w:rsid w:val="25BB7248"/>
    <w:rsid w:val="25C95A2E"/>
    <w:rsid w:val="25CA602F"/>
    <w:rsid w:val="25EF2298"/>
    <w:rsid w:val="26115962"/>
    <w:rsid w:val="261A696E"/>
    <w:rsid w:val="263B3556"/>
    <w:rsid w:val="26432C75"/>
    <w:rsid w:val="266015DF"/>
    <w:rsid w:val="26795443"/>
    <w:rsid w:val="267B4673"/>
    <w:rsid w:val="2699420E"/>
    <w:rsid w:val="26AC3A6A"/>
    <w:rsid w:val="26C07516"/>
    <w:rsid w:val="26FD7713"/>
    <w:rsid w:val="2729067E"/>
    <w:rsid w:val="27486BE1"/>
    <w:rsid w:val="274B4611"/>
    <w:rsid w:val="27604855"/>
    <w:rsid w:val="27B22E94"/>
    <w:rsid w:val="27B43EA5"/>
    <w:rsid w:val="27D71B4D"/>
    <w:rsid w:val="27F01E7F"/>
    <w:rsid w:val="27F71E0B"/>
    <w:rsid w:val="282B4E63"/>
    <w:rsid w:val="283D06F2"/>
    <w:rsid w:val="2889159A"/>
    <w:rsid w:val="288A2F1E"/>
    <w:rsid w:val="28EF40E2"/>
    <w:rsid w:val="28FC68AF"/>
    <w:rsid w:val="29000A4D"/>
    <w:rsid w:val="290E29F1"/>
    <w:rsid w:val="29311F82"/>
    <w:rsid w:val="294722A0"/>
    <w:rsid w:val="294A3793"/>
    <w:rsid w:val="295312B4"/>
    <w:rsid w:val="295E5F5C"/>
    <w:rsid w:val="29795A2A"/>
    <w:rsid w:val="29D64538"/>
    <w:rsid w:val="2A212AE9"/>
    <w:rsid w:val="2A2658D1"/>
    <w:rsid w:val="2A4124A3"/>
    <w:rsid w:val="2A573800"/>
    <w:rsid w:val="2A6148C0"/>
    <w:rsid w:val="2ACB46DB"/>
    <w:rsid w:val="2ADA6B6F"/>
    <w:rsid w:val="2AE00186"/>
    <w:rsid w:val="2AEA44FC"/>
    <w:rsid w:val="2AFD1E1D"/>
    <w:rsid w:val="2B1476E2"/>
    <w:rsid w:val="2B1E5C90"/>
    <w:rsid w:val="2B4F0023"/>
    <w:rsid w:val="2BA74800"/>
    <w:rsid w:val="2BD236BC"/>
    <w:rsid w:val="2BE16E96"/>
    <w:rsid w:val="2BEC12EB"/>
    <w:rsid w:val="2BEE0AA1"/>
    <w:rsid w:val="2C0C1DA5"/>
    <w:rsid w:val="2C2E0A7D"/>
    <w:rsid w:val="2C370F78"/>
    <w:rsid w:val="2C3C5506"/>
    <w:rsid w:val="2C4D16AB"/>
    <w:rsid w:val="2C6721E1"/>
    <w:rsid w:val="2C8314BD"/>
    <w:rsid w:val="2C864DE9"/>
    <w:rsid w:val="2C8903AA"/>
    <w:rsid w:val="2C895051"/>
    <w:rsid w:val="2C8B0B3A"/>
    <w:rsid w:val="2C8F3D11"/>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E2518"/>
    <w:rsid w:val="2DD81143"/>
    <w:rsid w:val="2DF126AA"/>
    <w:rsid w:val="2DFF2D38"/>
    <w:rsid w:val="2E051BB0"/>
    <w:rsid w:val="2E424AD5"/>
    <w:rsid w:val="2E4D4EB1"/>
    <w:rsid w:val="2E63770B"/>
    <w:rsid w:val="2E7D5CEC"/>
    <w:rsid w:val="2E7F4C29"/>
    <w:rsid w:val="2E871824"/>
    <w:rsid w:val="2E8813F1"/>
    <w:rsid w:val="2EA42971"/>
    <w:rsid w:val="2ED3590C"/>
    <w:rsid w:val="2F42274A"/>
    <w:rsid w:val="2F532E8F"/>
    <w:rsid w:val="2F803CE6"/>
    <w:rsid w:val="2F951AC7"/>
    <w:rsid w:val="2F953FF0"/>
    <w:rsid w:val="2F9B6E53"/>
    <w:rsid w:val="2F9D37CC"/>
    <w:rsid w:val="2FB5424C"/>
    <w:rsid w:val="2FC14429"/>
    <w:rsid w:val="2FC17E5A"/>
    <w:rsid w:val="300F0BED"/>
    <w:rsid w:val="30135126"/>
    <w:rsid w:val="30192F0F"/>
    <w:rsid w:val="302C14B3"/>
    <w:rsid w:val="30795D57"/>
    <w:rsid w:val="309F0C17"/>
    <w:rsid w:val="30B26121"/>
    <w:rsid w:val="30C304D6"/>
    <w:rsid w:val="30D305ED"/>
    <w:rsid w:val="30DF21D8"/>
    <w:rsid w:val="30DF4A3C"/>
    <w:rsid w:val="30E35CD7"/>
    <w:rsid w:val="30EB6B90"/>
    <w:rsid w:val="31031ABB"/>
    <w:rsid w:val="31095EB7"/>
    <w:rsid w:val="311A3576"/>
    <w:rsid w:val="31210BB1"/>
    <w:rsid w:val="31624FF7"/>
    <w:rsid w:val="31694894"/>
    <w:rsid w:val="31767E09"/>
    <w:rsid w:val="318740E6"/>
    <w:rsid w:val="319A2075"/>
    <w:rsid w:val="31A122DC"/>
    <w:rsid w:val="31DD0B43"/>
    <w:rsid w:val="31E367AE"/>
    <w:rsid w:val="31F90ACE"/>
    <w:rsid w:val="32030D9C"/>
    <w:rsid w:val="321A3FE1"/>
    <w:rsid w:val="3220069E"/>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A6217"/>
    <w:rsid w:val="33B05ADC"/>
    <w:rsid w:val="33C003F5"/>
    <w:rsid w:val="33CB7272"/>
    <w:rsid w:val="33DC34B5"/>
    <w:rsid w:val="33FD3B57"/>
    <w:rsid w:val="340E77BD"/>
    <w:rsid w:val="341F025F"/>
    <w:rsid w:val="345C0F3B"/>
    <w:rsid w:val="345F57F0"/>
    <w:rsid w:val="34725263"/>
    <w:rsid w:val="348D1AFE"/>
    <w:rsid w:val="34931E83"/>
    <w:rsid w:val="34A95A08"/>
    <w:rsid w:val="34D27CD0"/>
    <w:rsid w:val="34E44D57"/>
    <w:rsid w:val="34FE1C66"/>
    <w:rsid w:val="35056D25"/>
    <w:rsid w:val="358565CB"/>
    <w:rsid w:val="35873BE8"/>
    <w:rsid w:val="359053A7"/>
    <w:rsid w:val="35A9281B"/>
    <w:rsid w:val="35CC6426"/>
    <w:rsid w:val="35D92384"/>
    <w:rsid w:val="360321A8"/>
    <w:rsid w:val="3605657F"/>
    <w:rsid w:val="360C07B5"/>
    <w:rsid w:val="3647420E"/>
    <w:rsid w:val="36483084"/>
    <w:rsid w:val="365A26BB"/>
    <w:rsid w:val="367156B7"/>
    <w:rsid w:val="369F737A"/>
    <w:rsid w:val="36B80EC6"/>
    <w:rsid w:val="36FD6A43"/>
    <w:rsid w:val="370365F0"/>
    <w:rsid w:val="37230D73"/>
    <w:rsid w:val="372A182D"/>
    <w:rsid w:val="3731741A"/>
    <w:rsid w:val="3734489C"/>
    <w:rsid w:val="37377380"/>
    <w:rsid w:val="374D305C"/>
    <w:rsid w:val="375B24F4"/>
    <w:rsid w:val="377811B2"/>
    <w:rsid w:val="379374F6"/>
    <w:rsid w:val="379B0CD1"/>
    <w:rsid w:val="379E7D35"/>
    <w:rsid w:val="37E46E47"/>
    <w:rsid w:val="380D779F"/>
    <w:rsid w:val="38440F4D"/>
    <w:rsid w:val="384F13C8"/>
    <w:rsid w:val="384F4255"/>
    <w:rsid w:val="3888350A"/>
    <w:rsid w:val="388F4F9A"/>
    <w:rsid w:val="38A2410F"/>
    <w:rsid w:val="38A91D3A"/>
    <w:rsid w:val="38D66E2B"/>
    <w:rsid w:val="38EC55CD"/>
    <w:rsid w:val="391502A5"/>
    <w:rsid w:val="39300AE7"/>
    <w:rsid w:val="394B2E21"/>
    <w:rsid w:val="39643D30"/>
    <w:rsid w:val="39877520"/>
    <w:rsid w:val="398A15F5"/>
    <w:rsid w:val="39921A2C"/>
    <w:rsid w:val="39994025"/>
    <w:rsid w:val="399E1043"/>
    <w:rsid w:val="39D647DE"/>
    <w:rsid w:val="39E029D9"/>
    <w:rsid w:val="39FA6D9E"/>
    <w:rsid w:val="39FB16BB"/>
    <w:rsid w:val="3A2B0EC0"/>
    <w:rsid w:val="3A5244D1"/>
    <w:rsid w:val="3A531D55"/>
    <w:rsid w:val="3A594774"/>
    <w:rsid w:val="3A7B009F"/>
    <w:rsid w:val="3A98558D"/>
    <w:rsid w:val="3A993EAE"/>
    <w:rsid w:val="3ABE10DA"/>
    <w:rsid w:val="3AD76AA2"/>
    <w:rsid w:val="3AD97FA3"/>
    <w:rsid w:val="3AE71B98"/>
    <w:rsid w:val="3AE90DEA"/>
    <w:rsid w:val="3B075193"/>
    <w:rsid w:val="3B223C30"/>
    <w:rsid w:val="3B4E6A46"/>
    <w:rsid w:val="3B556F95"/>
    <w:rsid w:val="3B7C6B99"/>
    <w:rsid w:val="3B855315"/>
    <w:rsid w:val="3BB735A4"/>
    <w:rsid w:val="3BBF5B96"/>
    <w:rsid w:val="3BC92571"/>
    <w:rsid w:val="3BDE13A3"/>
    <w:rsid w:val="3BFA5647"/>
    <w:rsid w:val="3C120E6A"/>
    <w:rsid w:val="3C2D6E01"/>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3029C2"/>
    <w:rsid w:val="3D515006"/>
    <w:rsid w:val="3D7E738B"/>
    <w:rsid w:val="3D9372DA"/>
    <w:rsid w:val="3DCC4B8F"/>
    <w:rsid w:val="3DD15104"/>
    <w:rsid w:val="3DD94315"/>
    <w:rsid w:val="3DE87BE1"/>
    <w:rsid w:val="3DE9119F"/>
    <w:rsid w:val="3DEE01D0"/>
    <w:rsid w:val="3DF2364F"/>
    <w:rsid w:val="3E004E45"/>
    <w:rsid w:val="3E011E09"/>
    <w:rsid w:val="3E037DEE"/>
    <w:rsid w:val="3E16775C"/>
    <w:rsid w:val="3E2D3AD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3348D1"/>
    <w:rsid w:val="3F456E1B"/>
    <w:rsid w:val="3F620D12"/>
    <w:rsid w:val="3FA71E53"/>
    <w:rsid w:val="3FA93517"/>
    <w:rsid w:val="3FB92672"/>
    <w:rsid w:val="3FCC2890"/>
    <w:rsid w:val="3FCC786A"/>
    <w:rsid w:val="3FCD2A47"/>
    <w:rsid w:val="3FD70CAC"/>
    <w:rsid w:val="3FE95A65"/>
    <w:rsid w:val="3FF4481B"/>
    <w:rsid w:val="400413F2"/>
    <w:rsid w:val="40113BDB"/>
    <w:rsid w:val="40550877"/>
    <w:rsid w:val="4057639D"/>
    <w:rsid w:val="40603889"/>
    <w:rsid w:val="406421C8"/>
    <w:rsid w:val="408B4299"/>
    <w:rsid w:val="40BA53B8"/>
    <w:rsid w:val="40D07EFD"/>
    <w:rsid w:val="40E165AE"/>
    <w:rsid w:val="40E22A0F"/>
    <w:rsid w:val="40F12090"/>
    <w:rsid w:val="40F36A4C"/>
    <w:rsid w:val="41081A61"/>
    <w:rsid w:val="41160006"/>
    <w:rsid w:val="4127761A"/>
    <w:rsid w:val="412B252C"/>
    <w:rsid w:val="413B0649"/>
    <w:rsid w:val="413B7A6D"/>
    <w:rsid w:val="4153468A"/>
    <w:rsid w:val="4159761B"/>
    <w:rsid w:val="416A3AC0"/>
    <w:rsid w:val="41910115"/>
    <w:rsid w:val="41B31CF9"/>
    <w:rsid w:val="41BA4060"/>
    <w:rsid w:val="41BC7D4B"/>
    <w:rsid w:val="41F70D38"/>
    <w:rsid w:val="41F93B45"/>
    <w:rsid w:val="422C6789"/>
    <w:rsid w:val="42372C80"/>
    <w:rsid w:val="423D5D3E"/>
    <w:rsid w:val="42B8327D"/>
    <w:rsid w:val="42ED682D"/>
    <w:rsid w:val="42F0520E"/>
    <w:rsid w:val="430B2902"/>
    <w:rsid w:val="431B5DA8"/>
    <w:rsid w:val="431C7624"/>
    <w:rsid w:val="43371D8D"/>
    <w:rsid w:val="433D2264"/>
    <w:rsid w:val="434D3A87"/>
    <w:rsid w:val="435463A4"/>
    <w:rsid w:val="43650DD1"/>
    <w:rsid w:val="436726B5"/>
    <w:rsid w:val="439273CB"/>
    <w:rsid w:val="439A6B87"/>
    <w:rsid w:val="43D61518"/>
    <w:rsid w:val="43F403A7"/>
    <w:rsid w:val="441A32DB"/>
    <w:rsid w:val="442C5396"/>
    <w:rsid w:val="443864E5"/>
    <w:rsid w:val="443B3C2E"/>
    <w:rsid w:val="4460151D"/>
    <w:rsid w:val="4469669F"/>
    <w:rsid w:val="44A627CC"/>
    <w:rsid w:val="44AD4091"/>
    <w:rsid w:val="44B61E0D"/>
    <w:rsid w:val="44D00C52"/>
    <w:rsid w:val="44D2650B"/>
    <w:rsid w:val="44D775CB"/>
    <w:rsid w:val="44E829DD"/>
    <w:rsid w:val="450B01DE"/>
    <w:rsid w:val="45270B59"/>
    <w:rsid w:val="4545456F"/>
    <w:rsid w:val="454C7BFE"/>
    <w:rsid w:val="45562E35"/>
    <w:rsid w:val="456164E8"/>
    <w:rsid w:val="45784023"/>
    <w:rsid w:val="457E261E"/>
    <w:rsid w:val="45855CD6"/>
    <w:rsid w:val="458B54AD"/>
    <w:rsid w:val="45C63289"/>
    <w:rsid w:val="45CF1E73"/>
    <w:rsid w:val="45D96A26"/>
    <w:rsid w:val="45DD3120"/>
    <w:rsid w:val="45EC1828"/>
    <w:rsid w:val="460175F1"/>
    <w:rsid w:val="4622744D"/>
    <w:rsid w:val="46282C26"/>
    <w:rsid w:val="463B5BC5"/>
    <w:rsid w:val="46670CF3"/>
    <w:rsid w:val="467025FE"/>
    <w:rsid w:val="468A6DA0"/>
    <w:rsid w:val="468A7B42"/>
    <w:rsid w:val="46B64F8A"/>
    <w:rsid w:val="46D63D94"/>
    <w:rsid w:val="46E040D0"/>
    <w:rsid w:val="46EC5EAA"/>
    <w:rsid w:val="471072A6"/>
    <w:rsid w:val="472970A3"/>
    <w:rsid w:val="47841291"/>
    <w:rsid w:val="478815A4"/>
    <w:rsid w:val="47956B8B"/>
    <w:rsid w:val="47CD4924"/>
    <w:rsid w:val="48144180"/>
    <w:rsid w:val="481E5F94"/>
    <w:rsid w:val="484020B6"/>
    <w:rsid w:val="48486A94"/>
    <w:rsid w:val="48743864"/>
    <w:rsid w:val="48825F81"/>
    <w:rsid w:val="48BC308B"/>
    <w:rsid w:val="48BF2D31"/>
    <w:rsid w:val="48DA5A4B"/>
    <w:rsid w:val="48F07F74"/>
    <w:rsid w:val="48F469A5"/>
    <w:rsid w:val="48F855DB"/>
    <w:rsid w:val="490E5A67"/>
    <w:rsid w:val="49187AC7"/>
    <w:rsid w:val="491A4D01"/>
    <w:rsid w:val="49547B0C"/>
    <w:rsid w:val="49725C8C"/>
    <w:rsid w:val="49832B0D"/>
    <w:rsid w:val="49BB7388"/>
    <w:rsid w:val="4A0E0A59"/>
    <w:rsid w:val="4A6E4B59"/>
    <w:rsid w:val="4A91498E"/>
    <w:rsid w:val="4AAF7BFB"/>
    <w:rsid w:val="4AB32BB8"/>
    <w:rsid w:val="4ABA5EA6"/>
    <w:rsid w:val="4AC44F38"/>
    <w:rsid w:val="4AE03C1B"/>
    <w:rsid w:val="4AE47CF8"/>
    <w:rsid w:val="4B3E0FCB"/>
    <w:rsid w:val="4B453379"/>
    <w:rsid w:val="4B6028EE"/>
    <w:rsid w:val="4B6138D1"/>
    <w:rsid w:val="4B92234A"/>
    <w:rsid w:val="4BD3746D"/>
    <w:rsid w:val="4BD93CDB"/>
    <w:rsid w:val="4BDA4326"/>
    <w:rsid w:val="4BDF7AAD"/>
    <w:rsid w:val="4BFA24BD"/>
    <w:rsid w:val="4C06426C"/>
    <w:rsid w:val="4C1872CD"/>
    <w:rsid w:val="4C1947E0"/>
    <w:rsid w:val="4C297B79"/>
    <w:rsid w:val="4C333FDD"/>
    <w:rsid w:val="4C472460"/>
    <w:rsid w:val="4C642F84"/>
    <w:rsid w:val="4C9F2B28"/>
    <w:rsid w:val="4CC1579B"/>
    <w:rsid w:val="4CCB1397"/>
    <w:rsid w:val="4D212819"/>
    <w:rsid w:val="4D3527AD"/>
    <w:rsid w:val="4D3D00F7"/>
    <w:rsid w:val="4D45291A"/>
    <w:rsid w:val="4D456EA9"/>
    <w:rsid w:val="4D602609"/>
    <w:rsid w:val="4D65056D"/>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1061EC"/>
    <w:rsid w:val="4F506DD9"/>
    <w:rsid w:val="4F5D3A49"/>
    <w:rsid w:val="4F616B49"/>
    <w:rsid w:val="4F653C85"/>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974A36"/>
    <w:rsid w:val="509C3D65"/>
    <w:rsid w:val="50CC6100"/>
    <w:rsid w:val="50D951B9"/>
    <w:rsid w:val="50E132F9"/>
    <w:rsid w:val="5107548C"/>
    <w:rsid w:val="514A376F"/>
    <w:rsid w:val="51551400"/>
    <w:rsid w:val="51765264"/>
    <w:rsid w:val="518C60C3"/>
    <w:rsid w:val="51AD17C9"/>
    <w:rsid w:val="51BA4D0B"/>
    <w:rsid w:val="51BF4C79"/>
    <w:rsid w:val="51D56F72"/>
    <w:rsid w:val="51DE5E73"/>
    <w:rsid w:val="51F04BAA"/>
    <w:rsid w:val="52100B89"/>
    <w:rsid w:val="52185FCE"/>
    <w:rsid w:val="521F50B2"/>
    <w:rsid w:val="52304CA0"/>
    <w:rsid w:val="5233392E"/>
    <w:rsid w:val="52462715"/>
    <w:rsid w:val="52560171"/>
    <w:rsid w:val="525C28F3"/>
    <w:rsid w:val="52785A61"/>
    <w:rsid w:val="52825227"/>
    <w:rsid w:val="528A3533"/>
    <w:rsid w:val="528D1C08"/>
    <w:rsid w:val="528D5686"/>
    <w:rsid w:val="52962066"/>
    <w:rsid w:val="52C06606"/>
    <w:rsid w:val="52C66A7C"/>
    <w:rsid w:val="52D01FDF"/>
    <w:rsid w:val="52FB705C"/>
    <w:rsid w:val="53226CDE"/>
    <w:rsid w:val="5338454D"/>
    <w:rsid w:val="533C446C"/>
    <w:rsid w:val="534704F3"/>
    <w:rsid w:val="5380249C"/>
    <w:rsid w:val="538A3DAA"/>
    <w:rsid w:val="53A771E4"/>
    <w:rsid w:val="53D0546E"/>
    <w:rsid w:val="53D3076E"/>
    <w:rsid w:val="53D43A7A"/>
    <w:rsid w:val="53DB008F"/>
    <w:rsid w:val="53F00B8B"/>
    <w:rsid w:val="541A5C08"/>
    <w:rsid w:val="541E2959"/>
    <w:rsid w:val="542645AC"/>
    <w:rsid w:val="542A2766"/>
    <w:rsid w:val="54407D28"/>
    <w:rsid w:val="546809C3"/>
    <w:rsid w:val="54686A74"/>
    <w:rsid w:val="54A40765"/>
    <w:rsid w:val="54AD1AA9"/>
    <w:rsid w:val="550C25F6"/>
    <w:rsid w:val="550D7D43"/>
    <w:rsid w:val="551A4D4B"/>
    <w:rsid w:val="552C4E53"/>
    <w:rsid w:val="553C58A3"/>
    <w:rsid w:val="5563546E"/>
    <w:rsid w:val="556D697F"/>
    <w:rsid w:val="55D173A4"/>
    <w:rsid w:val="55DB2421"/>
    <w:rsid w:val="55EC2C79"/>
    <w:rsid w:val="560F5B43"/>
    <w:rsid w:val="56106CE3"/>
    <w:rsid w:val="5621502B"/>
    <w:rsid w:val="56293017"/>
    <w:rsid w:val="56352B49"/>
    <w:rsid w:val="564E7CA4"/>
    <w:rsid w:val="56560192"/>
    <w:rsid w:val="56C3379B"/>
    <w:rsid w:val="56E11A08"/>
    <w:rsid w:val="575E4B81"/>
    <w:rsid w:val="576F0018"/>
    <w:rsid w:val="57830771"/>
    <w:rsid w:val="57835872"/>
    <w:rsid w:val="57880DB6"/>
    <w:rsid w:val="578F7037"/>
    <w:rsid w:val="57B1656F"/>
    <w:rsid w:val="57B25122"/>
    <w:rsid w:val="57BA1393"/>
    <w:rsid w:val="57C11FCB"/>
    <w:rsid w:val="57D20B1A"/>
    <w:rsid w:val="57E740DE"/>
    <w:rsid w:val="58070251"/>
    <w:rsid w:val="58962B1F"/>
    <w:rsid w:val="58C779E0"/>
    <w:rsid w:val="58DA03D3"/>
    <w:rsid w:val="592130AC"/>
    <w:rsid w:val="59255BE0"/>
    <w:rsid w:val="592B61C1"/>
    <w:rsid w:val="59450855"/>
    <w:rsid w:val="597F7976"/>
    <w:rsid w:val="5989229C"/>
    <w:rsid w:val="5996188C"/>
    <w:rsid w:val="59B77E1F"/>
    <w:rsid w:val="59B969AF"/>
    <w:rsid w:val="59C94812"/>
    <w:rsid w:val="59DA7D0F"/>
    <w:rsid w:val="59FD32F3"/>
    <w:rsid w:val="5A00746C"/>
    <w:rsid w:val="5A215B83"/>
    <w:rsid w:val="5A2E1325"/>
    <w:rsid w:val="5A814DBE"/>
    <w:rsid w:val="5A9E6296"/>
    <w:rsid w:val="5AB50438"/>
    <w:rsid w:val="5AD15085"/>
    <w:rsid w:val="5AED1980"/>
    <w:rsid w:val="5B043935"/>
    <w:rsid w:val="5B092532"/>
    <w:rsid w:val="5B260C7C"/>
    <w:rsid w:val="5B48714E"/>
    <w:rsid w:val="5B4F2472"/>
    <w:rsid w:val="5B687259"/>
    <w:rsid w:val="5B755EAE"/>
    <w:rsid w:val="5B8A2CDB"/>
    <w:rsid w:val="5B8C7D6C"/>
    <w:rsid w:val="5B974C66"/>
    <w:rsid w:val="5BA34735"/>
    <w:rsid w:val="5BAF2BC1"/>
    <w:rsid w:val="5BE022CB"/>
    <w:rsid w:val="5BFF22D3"/>
    <w:rsid w:val="5C1D0736"/>
    <w:rsid w:val="5C406EE6"/>
    <w:rsid w:val="5C554980"/>
    <w:rsid w:val="5C8118C1"/>
    <w:rsid w:val="5C853E3A"/>
    <w:rsid w:val="5C87555C"/>
    <w:rsid w:val="5CD814DE"/>
    <w:rsid w:val="5CDC4040"/>
    <w:rsid w:val="5CF92ED6"/>
    <w:rsid w:val="5D377AC1"/>
    <w:rsid w:val="5D485594"/>
    <w:rsid w:val="5D647EF4"/>
    <w:rsid w:val="5D687204"/>
    <w:rsid w:val="5D741426"/>
    <w:rsid w:val="5D76013F"/>
    <w:rsid w:val="5D903607"/>
    <w:rsid w:val="5D9F6BFC"/>
    <w:rsid w:val="5DB306DA"/>
    <w:rsid w:val="5DB524FD"/>
    <w:rsid w:val="5DB944F7"/>
    <w:rsid w:val="5DDA45C0"/>
    <w:rsid w:val="5E053647"/>
    <w:rsid w:val="5E113BD7"/>
    <w:rsid w:val="5E3923F5"/>
    <w:rsid w:val="5E3F70B2"/>
    <w:rsid w:val="5E4915C3"/>
    <w:rsid w:val="5E626589"/>
    <w:rsid w:val="5E6767D9"/>
    <w:rsid w:val="5E9E66DE"/>
    <w:rsid w:val="5EA00288"/>
    <w:rsid w:val="5EBF1885"/>
    <w:rsid w:val="5EC0589E"/>
    <w:rsid w:val="5EDF5A84"/>
    <w:rsid w:val="5EE63490"/>
    <w:rsid w:val="5F0A1F1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63727"/>
    <w:rsid w:val="601F61B9"/>
    <w:rsid w:val="6028330A"/>
    <w:rsid w:val="60620E8B"/>
    <w:rsid w:val="60D648BD"/>
    <w:rsid w:val="60E0280F"/>
    <w:rsid w:val="60FB0B6F"/>
    <w:rsid w:val="610B7004"/>
    <w:rsid w:val="6115578D"/>
    <w:rsid w:val="61533568"/>
    <w:rsid w:val="61734BA9"/>
    <w:rsid w:val="61B905BF"/>
    <w:rsid w:val="61BA6334"/>
    <w:rsid w:val="61C147ED"/>
    <w:rsid w:val="61E66498"/>
    <w:rsid w:val="61F04844"/>
    <w:rsid w:val="61F37A2B"/>
    <w:rsid w:val="61FB6E70"/>
    <w:rsid w:val="623F72F3"/>
    <w:rsid w:val="6260512D"/>
    <w:rsid w:val="626B2577"/>
    <w:rsid w:val="626D0AAD"/>
    <w:rsid w:val="62740BD9"/>
    <w:rsid w:val="62951EAB"/>
    <w:rsid w:val="62C113E6"/>
    <w:rsid w:val="62D42C39"/>
    <w:rsid w:val="62D84F52"/>
    <w:rsid w:val="62DB32CF"/>
    <w:rsid w:val="63263F3F"/>
    <w:rsid w:val="632C402D"/>
    <w:rsid w:val="634132DF"/>
    <w:rsid w:val="63476655"/>
    <w:rsid w:val="6355792A"/>
    <w:rsid w:val="63673F82"/>
    <w:rsid w:val="637B37F4"/>
    <w:rsid w:val="639257BA"/>
    <w:rsid w:val="639A44C1"/>
    <w:rsid w:val="639C4DF2"/>
    <w:rsid w:val="639C513F"/>
    <w:rsid w:val="63A1123C"/>
    <w:rsid w:val="63A91FCC"/>
    <w:rsid w:val="63DB3FB5"/>
    <w:rsid w:val="63E3295D"/>
    <w:rsid w:val="63E559AB"/>
    <w:rsid w:val="63FC5AE3"/>
    <w:rsid w:val="640815D9"/>
    <w:rsid w:val="640E64EE"/>
    <w:rsid w:val="641622A7"/>
    <w:rsid w:val="641D7082"/>
    <w:rsid w:val="643F22FE"/>
    <w:rsid w:val="644105DB"/>
    <w:rsid w:val="644243B8"/>
    <w:rsid w:val="648132C7"/>
    <w:rsid w:val="64906592"/>
    <w:rsid w:val="64A023DE"/>
    <w:rsid w:val="64A84B6A"/>
    <w:rsid w:val="64C24883"/>
    <w:rsid w:val="64C9072A"/>
    <w:rsid w:val="64D616D7"/>
    <w:rsid w:val="64E8140A"/>
    <w:rsid w:val="656C1925"/>
    <w:rsid w:val="656C7082"/>
    <w:rsid w:val="657D1B52"/>
    <w:rsid w:val="657E37B3"/>
    <w:rsid w:val="65A0248C"/>
    <w:rsid w:val="65BD7661"/>
    <w:rsid w:val="65C741F1"/>
    <w:rsid w:val="65F27082"/>
    <w:rsid w:val="660C65A4"/>
    <w:rsid w:val="662277E8"/>
    <w:rsid w:val="66322BA5"/>
    <w:rsid w:val="665F39EB"/>
    <w:rsid w:val="66601C37"/>
    <w:rsid w:val="66751CE5"/>
    <w:rsid w:val="66A30481"/>
    <w:rsid w:val="66A54284"/>
    <w:rsid w:val="66AB6D48"/>
    <w:rsid w:val="66B119A8"/>
    <w:rsid w:val="66B75DB6"/>
    <w:rsid w:val="66BF65EF"/>
    <w:rsid w:val="66D137BC"/>
    <w:rsid w:val="66F300FB"/>
    <w:rsid w:val="66F8754F"/>
    <w:rsid w:val="66FB48AB"/>
    <w:rsid w:val="67034EB1"/>
    <w:rsid w:val="67265447"/>
    <w:rsid w:val="67423054"/>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25D99"/>
    <w:rsid w:val="68577AE5"/>
    <w:rsid w:val="686D5F80"/>
    <w:rsid w:val="68917132"/>
    <w:rsid w:val="689734BD"/>
    <w:rsid w:val="68A14C0D"/>
    <w:rsid w:val="68AD205B"/>
    <w:rsid w:val="68B856E1"/>
    <w:rsid w:val="68CA292A"/>
    <w:rsid w:val="68F04F75"/>
    <w:rsid w:val="68F14D31"/>
    <w:rsid w:val="6922138F"/>
    <w:rsid w:val="69265661"/>
    <w:rsid w:val="692E096F"/>
    <w:rsid w:val="69360704"/>
    <w:rsid w:val="69490149"/>
    <w:rsid w:val="696C260A"/>
    <w:rsid w:val="69BB4ADC"/>
    <w:rsid w:val="69C82DA7"/>
    <w:rsid w:val="6A197ABD"/>
    <w:rsid w:val="6A4D5FF3"/>
    <w:rsid w:val="6A615A8D"/>
    <w:rsid w:val="6A7F2529"/>
    <w:rsid w:val="6AA3205B"/>
    <w:rsid w:val="6AC42C22"/>
    <w:rsid w:val="6AD82C94"/>
    <w:rsid w:val="6AF26B3F"/>
    <w:rsid w:val="6B2F5A88"/>
    <w:rsid w:val="6B633598"/>
    <w:rsid w:val="6B6D0A30"/>
    <w:rsid w:val="6B7164B9"/>
    <w:rsid w:val="6B826114"/>
    <w:rsid w:val="6B95409A"/>
    <w:rsid w:val="6BE80FAB"/>
    <w:rsid w:val="6BEC3CBA"/>
    <w:rsid w:val="6BEE2087"/>
    <w:rsid w:val="6BEF1585"/>
    <w:rsid w:val="6BF32B3B"/>
    <w:rsid w:val="6C00595E"/>
    <w:rsid w:val="6C525289"/>
    <w:rsid w:val="6C56658C"/>
    <w:rsid w:val="6C642948"/>
    <w:rsid w:val="6C910CB6"/>
    <w:rsid w:val="6CA200F0"/>
    <w:rsid w:val="6CD03F54"/>
    <w:rsid w:val="6D054B70"/>
    <w:rsid w:val="6D15200A"/>
    <w:rsid w:val="6D1B7997"/>
    <w:rsid w:val="6D30394E"/>
    <w:rsid w:val="6D3E73FE"/>
    <w:rsid w:val="6D497BF3"/>
    <w:rsid w:val="6D4B1631"/>
    <w:rsid w:val="6D6C376E"/>
    <w:rsid w:val="6D6D06FE"/>
    <w:rsid w:val="6DA86F37"/>
    <w:rsid w:val="6DC4078E"/>
    <w:rsid w:val="6DD82E6F"/>
    <w:rsid w:val="6DF8036A"/>
    <w:rsid w:val="6DFB7D5C"/>
    <w:rsid w:val="6DFC0FA6"/>
    <w:rsid w:val="6DFE2388"/>
    <w:rsid w:val="6E020473"/>
    <w:rsid w:val="6E1D5965"/>
    <w:rsid w:val="6E2313F4"/>
    <w:rsid w:val="6E91666F"/>
    <w:rsid w:val="6E9E6D02"/>
    <w:rsid w:val="6EA14806"/>
    <w:rsid w:val="6EB47B1E"/>
    <w:rsid w:val="6EBE1A25"/>
    <w:rsid w:val="6EF13B31"/>
    <w:rsid w:val="6F0B4673"/>
    <w:rsid w:val="6F194DE9"/>
    <w:rsid w:val="6F2006A7"/>
    <w:rsid w:val="6F27315B"/>
    <w:rsid w:val="6F3C0C21"/>
    <w:rsid w:val="6F3C2815"/>
    <w:rsid w:val="6F414857"/>
    <w:rsid w:val="6F5558EE"/>
    <w:rsid w:val="6F6B17AC"/>
    <w:rsid w:val="6FA80114"/>
    <w:rsid w:val="6FC53640"/>
    <w:rsid w:val="6FC93E4E"/>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244BCB"/>
    <w:rsid w:val="713C1469"/>
    <w:rsid w:val="71771B4C"/>
    <w:rsid w:val="71777C1F"/>
    <w:rsid w:val="71C01F58"/>
    <w:rsid w:val="720C2BDC"/>
    <w:rsid w:val="72601582"/>
    <w:rsid w:val="726105EC"/>
    <w:rsid w:val="726E54DD"/>
    <w:rsid w:val="72A2430F"/>
    <w:rsid w:val="72A3091A"/>
    <w:rsid w:val="72AC6C55"/>
    <w:rsid w:val="72BE7F8F"/>
    <w:rsid w:val="72BF1073"/>
    <w:rsid w:val="72C6583F"/>
    <w:rsid w:val="72D134DE"/>
    <w:rsid w:val="72D42A57"/>
    <w:rsid w:val="72E70DD8"/>
    <w:rsid w:val="72EE1403"/>
    <w:rsid w:val="72FD0776"/>
    <w:rsid w:val="730055E4"/>
    <w:rsid w:val="73065F55"/>
    <w:rsid w:val="730B44CC"/>
    <w:rsid w:val="7318110C"/>
    <w:rsid w:val="73610C3C"/>
    <w:rsid w:val="736224F9"/>
    <w:rsid w:val="73677EED"/>
    <w:rsid w:val="73697BBA"/>
    <w:rsid w:val="73763936"/>
    <w:rsid w:val="7377392A"/>
    <w:rsid w:val="73AB5F07"/>
    <w:rsid w:val="74046AE0"/>
    <w:rsid w:val="740E49D2"/>
    <w:rsid w:val="74203B87"/>
    <w:rsid w:val="743256E2"/>
    <w:rsid w:val="74432492"/>
    <w:rsid w:val="744C3893"/>
    <w:rsid w:val="74503106"/>
    <w:rsid w:val="74793E2D"/>
    <w:rsid w:val="748D05FE"/>
    <w:rsid w:val="74904F5A"/>
    <w:rsid w:val="74933A6B"/>
    <w:rsid w:val="749D3FBF"/>
    <w:rsid w:val="74AC1655"/>
    <w:rsid w:val="74BD7A58"/>
    <w:rsid w:val="74C4007A"/>
    <w:rsid w:val="74F13428"/>
    <w:rsid w:val="750116AA"/>
    <w:rsid w:val="75073709"/>
    <w:rsid w:val="750F2972"/>
    <w:rsid w:val="7539280D"/>
    <w:rsid w:val="753A7B6F"/>
    <w:rsid w:val="755820E5"/>
    <w:rsid w:val="756F6C3E"/>
    <w:rsid w:val="75740598"/>
    <w:rsid w:val="75746B39"/>
    <w:rsid w:val="75776D67"/>
    <w:rsid w:val="75977D48"/>
    <w:rsid w:val="759F3AEC"/>
    <w:rsid w:val="75A32CD3"/>
    <w:rsid w:val="75A43018"/>
    <w:rsid w:val="75B722A8"/>
    <w:rsid w:val="75CA1CF2"/>
    <w:rsid w:val="75E031FF"/>
    <w:rsid w:val="75FE0616"/>
    <w:rsid w:val="760910BF"/>
    <w:rsid w:val="763B7516"/>
    <w:rsid w:val="765663F6"/>
    <w:rsid w:val="76AA29C3"/>
    <w:rsid w:val="76BA0E58"/>
    <w:rsid w:val="76DE1923"/>
    <w:rsid w:val="76E52476"/>
    <w:rsid w:val="771012B7"/>
    <w:rsid w:val="772C5186"/>
    <w:rsid w:val="773F0D3E"/>
    <w:rsid w:val="77413FFC"/>
    <w:rsid w:val="775E7605"/>
    <w:rsid w:val="778C6877"/>
    <w:rsid w:val="779C410A"/>
    <w:rsid w:val="77B26915"/>
    <w:rsid w:val="77D21129"/>
    <w:rsid w:val="77D472A1"/>
    <w:rsid w:val="77EC6F96"/>
    <w:rsid w:val="77F60C91"/>
    <w:rsid w:val="78060F3D"/>
    <w:rsid w:val="78356715"/>
    <w:rsid w:val="784A39DC"/>
    <w:rsid w:val="7852288B"/>
    <w:rsid w:val="7883011B"/>
    <w:rsid w:val="78D37129"/>
    <w:rsid w:val="79140A42"/>
    <w:rsid w:val="7922312F"/>
    <w:rsid w:val="792C68D0"/>
    <w:rsid w:val="794F15B9"/>
    <w:rsid w:val="797915B7"/>
    <w:rsid w:val="79952474"/>
    <w:rsid w:val="799B6894"/>
    <w:rsid w:val="79B5302A"/>
    <w:rsid w:val="79C370D7"/>
    <w:rsid w:val="79D35D8D"/>
    <w:rsid w:val="79E668F6"/>
    <w:rsid w:val="79ED5673"/>
    <w:rsid w:val="79EE46E0"/>
    <w:rsid w:val="79FB10E0"/>
    <w:rsid w:val="7A072443"/>
    <w:rsid w:val="7A110938"/>
    <w:rsid w:val="7A170370"/>
    <w:rsid w:val="7A235120"/>
    <w:rsid w:val="7A361F18"/>
    <w:rsid w:val="7A545120"/>
    <w:rsid w:val="7A772BBC"/>
    <w:rsid w:val="7A7E37E0"/>
    <w:rsid w:val="7A841359"/>
    <w:rsid w:val="7A8D60AA"/>
    <w:rsid w:val="7AA87D65"/>
    <w:rsid w:val="7AD37E40"/>
    <w:rsid w:val="7ADF476F"/>
    <w:rsid w:val="7B0855DA"/>
    <w:rsid w:val="7B2E1248"/>
    <w:rsid w:val="7B366F41"/>
    <w:rsid w:val="7B39413F"/>
    <w:rsid w:val="7B53032D"/>
    <w:rsid w:val="7B574BAA"/>
    <w:rsid w:val="7B753D96"/>
    <w:rsid w:val="7B7B048A"/>
    <w:rsid w:val="7B897830"/>
    <w:rsid w:val="7B9A7651"/>
    <w:rsid w:val="7BA56F83"/>
    <w:rsid w:val="7BA62ECA"/>
    <w:rsid w:val="7BA9679C"/>
    <w:rsid w:val="7BCC6F38"/>
    <w:rsid w:val="7BD36518"/>
    <w:rsid w:val="7BDE117C"/>
    <w:rsid w:val="7BFF10BB"/>
    <w:rsid w:val="7C391E4E"/>
    <w:rsid w:val="7C400614"/>
    <w:rsid w:val="7C5533D1"/>
    <w:rsid w:val="7C5C7E0A"/>
    <w:rsid w:val="7C765821"/>
    <w:rsid w:val="7C7B0082"/>
    <w:rsid w:val="7C847ED8"/>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E076255"/>
    <w:rsid w:val="7E1468C5"/>
    <w:rsid w:val="7E340D3B"/>
    <w:rsid w:val="7E3B4840"/>
    <w:rsid w:val="7E4F46C1"/>
    <w:rsid w:val="7E5854CD"/>
    <w:rsid w:val="7E7B2D9B"/>
    <w:rsid w:val="7ED700CE"/>
    <w:rsid w:val="7F3458E1"/>
    <w:rsid w:val="7F4C5FDB"/>
    <w:rsid w:val="7F4D0EB9"/>
    <w:rsid w:val="7F99624F"/>
    <w:rsid w:val="7FBD3767"/>
    <w:rsid w:val="7FC56178"/>
    <w:rsid w:val="7FCB7C32"/>
    <w:rsid w:val="7FD30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link w:val="54"/>
    <w:autoRedefine/>
    <w:qFormat/>
    <w:uiPriority w:val="99"/>
    <w:pPr>
      <w:keepNext/>
      <w:keepLines/>
      <w:spacing w:before="340" w:after="330" w:line="578" w:lineRule="auto"/>
      <w:outlineLvl w:val="0"/>
    </w:pPr>
    <w:rPr>
      <w:b/>
      <w:bCs/>
      <w:kern w:val="44"/>
      <w:sz w:val="44"/>
      <w:szCs w:val="44"/>
    </w:rPr>
  </w:style>
  <w:style w:type="paragraph" w:styleId="11">
    <w:name w:val="heading 2"/>
    <w:basedOn w:val="1"/>
    <w:next w:val="1"/>
    <w:link w:val="55"/>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12">
    <w:name w:val="heading 3"/>
    <w:basedOn w:val="1"/>
    <w:next w:val="1"/>
    <w:link w:val="56"/>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13">
    <w:name w:val="heading 4"/>
    <w:basedOn w:val="1"/>
    <w:next w:val="14"/>
    <w:link w:val="57"/>
    <w:autoRedefine/>
    <w:qFormat/>
    <w:uiPriority w:val="0"/>
    <w:pPr>
      <w:spacing w:before="280" w:after="290" w:line="377" w:lineRule="auto"/>
      <w:outlineLvl w:val="3"/>
    </w:pPr>
    <w:rPr>
      <w:rFonts w:ascii="Arial" w:hAnsi="Arial" w:eastAsia="黑体"/>
      <w:b/>
      <w:bCs/>
      <w:kern w:val="0"/>
      <w:sz w:val="28"/>
      <w:szCs w:val="28"/>
    </w:rPr>
  </w:style>
  <w:style w:type="paragraph" w:styleId="15">
    <w:name w:val="heading 5"/>
    <w:basedOn w:val="1"/>
    <w:next w:val="1"/>
    <w:link w:val="59"/>
    <w:autoRedefine/>
    <w:qFormat/>
    <w:uiPriority w:val="0"/>
    <w:pPr>
      <w:keepNext/>
      <w:keepLines/>
      <w:spacing w:before="280" w:after="290" w:line="376" w:lineRule="auto"/>
      <w:outlineLvl w:val="4"/>
    </w:pPr>
    <w:rPr>
      <w:rFonts w:ascii="Calibri" w:hAnsi="Calibri"/>
      <w:b/>
      <w:bCs/>
      <w:kern w:val="0"/>
      <w:sz w:val="28"/>
      <w:szCs w:val="28"/>
    </w:rPr>
  </w:style>
  <w:style w:type="paragraph" w:styleId="16">
    <w:name w:val="heading 6"/>
    <w:basedOn w:val="1"/>
    <w:next w:val="1"/>
    <w:link w:val="60"/>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17">
    <w:name w:val="heading 7"/>
    <w:basedOn w:val="1"/>
    <w:next w:val="1"/>
    <w:link w:val="61"/>
    <w:autoRedefine/>
    <w:qFormat/>
    <w:uiPriority w:val="0"/>
    <w:pPr>
      <w:keepNext/>
      <w:keepLines/>
      <w:spacing w:before="240" w:after="64" w:line="320" w:lineRule="auto"/>
      <w:ind w:left="1296" w:hanging="1296"/>
      <w:outlineLvl w:val="6"/>
    </w:pPr>
    <w:rPr>
      <w:b/>
      <w:bCs/>
      <w:kern w:val="0"/>
      <w:sz w:val="24"/>
      <w:szCs w:val="24"/>
    </w:rPr>
  </w:style>
  <w:style w:type="paragraph" w:styleId="18">
    <w:name w:val="heading 8"/>
    <w:basedOn w:val="1"/>
    <w:next w:val="1"/>
    <w:link w:val="62"/>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9">
    <w:name w:val="heading 9"/>
    <w:basedOn w:val="1"/>
    <w:next w:val="1"/>
    <w:link w:val="63"/>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before="156" w:after="156"/>
      <w:ind w:firstLine="480" w:firstLineChars="200"/>
    </w:pPr>
  </w:style>
  <w:style w:type="paragraph" w:customStyle="1" w:styleId="3">
    <w:name w:val="Char Char Char Char Char Char Char Char Char"/>
    <w:basedOn w:val="1"/>
    <w:next w:val="4"/>
    <w:autoRedefine/>
    <w:qFormat/>
    <w:uiPriority w:val="99"/>
    <w:pPr>
      <w:ind w:left="360" w:firstLine="5784"/>
    </w:pPr>
  </w:style>
  <w:style w:type="paragraph" w:customStyle="1" w:styleId="4">
    <w:name w:val="正文文本 21"/>
    <w:basedOn w:val="1"/>
    <w:next w:val="5"/>
    <w:autoRedefine/>
    <w:qFormat/>
    <w:uiPriority w:val="99"/>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99"/>
    <w:pPr>
      <w:ind w:firstLine="200" w:firstLineChars="200"/>
    </w:pPr>
    <w:rPr>
      <w:rFonts w:cs="Arial"/>
    </w:rPr>
  </w:style>
  <w:style w:type="paragraph" w:customStyle="1" w:styleId="6">
    <w:name w:val="样式 首行缩进:  2 字符"/>
    <w:basedOn w:val="1"/>
    <w:next w:val="7"/>
    <w:autoRedefine/>
    <w:qFormat/>
    <w:uiPriority w:val="99"/>
    <w:pPr>
      <w:spacing w:line="360" w:lineRule="auto"/>
      <w:ind w:left="480" w:firstLine="5856"/>
    </w:pPr>
  </w:style>
  <w:style w:type="paragraph" w:customStyle="1" w:styleId="7">
    <w:name w:val="样式 段后: 0.25 行"/>
    <w:basedOn w:val="1"/>
    <w:next w:val="8"/>
    <w:autoRedefine/>
    <w:qFormat/>
    <w:uiPriority w:val="99"/>
    <w:pPr>
      <w:widowControl/>
      <w:spacing w:line="300" w:lineRule="auto"/>
      <w:ind w:left="420" w:firstLine="5796"/>
    </w:pPr>
  </w:style>
  <w:style w:type="paragraph" w:customStyle="1" w:styleId="8">
    <w:name w:val="正文 New New New New New New New New New New New New New New"/>
    <w:next w:val="9"/>
    <w:autoRedefine/>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semiHidden/>
    <w:qFormat/>
    <w:uiPriority w:val="0"/>
    <w:pPr>
      <w:ind w:left="3360" w:leftChars="1600"/>
    </w:pPr>
  </w:style>
  <w:style w:type="paragraph" w:styleId="14">
    <w:name w:val="Normal Indent"/>
    <w:basedOn w:val="1"/>
    <w:link w:val="58"/>
    <w:autoRedefine/>
    <w:unhideWhenUsed/>
    <w:qFormat/>
    <w:uiPriority w:val="0"/>
    <w:pPr>
      <w:ind w:firstLine="420" w:firstLineChars="200"/>
    </w:pPr>
  </w:style>
  <w:style w:type="paragraph" w:styleId="20">
    <w:name w:val="Document Map"/>
    <w:basedOn w:val="1"/>
    <w:link w:val="64"/>
    <w:autoRedefine/>
    <w:qFormat/>
    <w:uiPriority w:val="0"/>
    <w:rPr>
      <w:rFonts w:ascii="宋体"/>
      <w:sz w:val="18"/>
      <w:szCs w:val="18"/>
    </w:rPr>
  </w:style>
  <w:style w:type="paragraph" w:styleId="21">
    <w:name w:val="annotation text"/>
    <w:basedOn w:val="1"/>
    <w:link w:val="65"/>
    <w:autoRedefine/>
    <w:unhideWhenUsed/>
    <w:qFormat/>
    <w:uiPriority w:val="0"/>
    <w:pPr>
      <w:jc w:val="left"/>
    </w:pPr>
    <w:rPr>
      <w:kern w:val="0"/>
      <w:sz w:val="20"/>
      <w:szCs w:val="24"/>
    </w:rPr>
  </w:style>
  <w:style w:type="paragraph" w:styleId="22">
    <w:name w:val="Body Text 3"/>
    <w:basedOn w:val="1"/>
    <w:link w:val="66"/>
    <w:autoRedefine/>
    <w:qFormat/>
    <w:uiPriority w:val="0"/>
    <w:rPr>
      <w:rFonts w:ascii="宋体"/>
      <w:sz w:val="24"/>
      <w:szCs w:val="20"/>
    </w:rPr>
  </w:style>
  <w:style w:type="paragraph" w:styleId="23">
    <w:name w:val="Body Text"/>
    <w:basedOn w:val="1"/>
    <w:next w:val="1"/>
    <w:link w:val="67"/>
    <w:autoRedefine/>
    <w:qFormat/>
    <w:uiPriority w:val="99"/>
    <w:rPr>
      <w:rFonts w:ascii="楷体_GB2312" w:hAnsi="Arial" w:eastAsia="楷体_GB2312"/>
      <w:kern w:val="0"/>
      <w:sz w:val="28"/>
      <w:szCs w:val="28"/>
    </w:rPr>
  </w:style>
  <w:style w:type="paragraph" w:styleId="24">
    <w:name w:val="Body Text Indent"/>
    <w:basedOn w:val="1"/>
    <w:next w:val="1"/>
    <w:link w:val="68"/>
    <w:autoRedefine/>
    <w:qFormat/>
    <w:uiPriority w:val="0"/>
    <w:pPr>
      <w:spacing w:after="120"/>
      <w:ind w:left="420" w:leftChars="200"/>
    </w:pPr>
    <w:rPr>
      <w:kern w:val="0"/>
      <w:sz w:val="20"/>
      <w:szCs w:val="24"/>
    </w:rPr>
  </w:style>
  <w:style w:type="paragraph" w:styleId="25">
    <w:name w:val="List Bullet 2"/>
    <w:basedOn w:val="1"/>
    <w:autoRedefine/>
    <w:unhideWhenUsed/>
    <w:qFormat/>
    <w:uiPriority w:val="99"/>
    <w:pPr>
      <w:numPr>
        <w:ilvl w:val="0"/>
        <w:numId w:val="2"/>
      </w:numPr>
    </w:pPr>
  </w:style>
  <w:style w:type="paragraph" w:styleId="26">
    <w:name w:val="toc 3"/>
    <w:basedOn w:val="1"/>
    <w:next w:val="1"/>
    <w:autoRedefine/>
    <w:unhideWhenUsed/>
    <w:qFormat/>
    <w:uiPriority w:val="39"/>
    <w:pPr>
      <w:ind w:left="840" w:leftChars="400"/>
    </w:pPr>
    <w:rPr>
      <w:rFonts w:ascii="Calibri" w:hAnsi="Calibri"/>
    </w:rPr>
  </w:style>
  <w:style w:type="paragraph" w:styleId="27">
    <w:name w:val="Plain Text"/>
    <w:basedOn w:val="1"/>
    <w:link w:val="69"/>
    <w:autoRedefine/>
    <w:qFormat/>
    <w:uiPriority w:val="0"/>
    <w:rPr>
      <w:rFonts w:ascii="宋体" w:hAnsi="Courier New"/>
      <w:kern w:val="0"/>
      <w:sz w:val="20"/>
      <w:szCs w:val="21"/>
    </w:rPr>
  </w:style>
  <w:style w:type="paragraph" w:styleId="28">
    <w:name w:val="Body Text Indent 2"/>
    <w:basedOn w:val="1"/>
    <w:link w:val="70"/>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9">
    <w:name w:val="Balloon Text"/>
    <w:basedOn w:val="1"/>
    <w:link w:val="71"/>
    <w:autoRedefine/>
    <w:unhideWhenUsed/>
    <w:qFormat/>
    <w:uiPriority w:val="0"/>
    <w:rPr>
      <w:kern w:val="0"/>
      <w:sz w:val="18"/>
      <w:szCs w:val="18"/>
    </w:rPr>
  </w:style>
  <w:style w:type="paragraph" w:styleId="30">
    <w:name w:val="footer"/>
    <w:basedOn w:val="1"/>
    <w:link w:val="72"/>
    <w:autoRedefine/>
    <w:unhideWhenUsed/>
    <w:qFormat/>
    <w:uiPriority w:val="99"/>
    <w:pPr>
      <w:tabs>
        <w:tab w:val="center" w:pos="4153"/>
        <w:tab w:val="right" w:pos="8306"/>
      </w:tabs>
      <w:snapToGrid w:val="0"/>
      <w:jc w:val="left"/>
    </w:pPr>
    <w:rPr>
      <w:kern w:val="0"/>
      <w:sz w:val="18"/>
      <w:szCs w:val="18"/>
    </w:rPr>
  </w:style>
  <w:style w:type="paragraph" w:styleId="31">
    <w:name w:val="envelope return"/>
    <w:basedOn w:val="1"/>
    <w:autoRedefine/>
    <w:qFormat/>
    <w:uiPriority w:val="99"/>
    <w:pPr>
      <w:widowControl/>
      <w:snapToGrid w:val="0"/>
      <w:jc w:val="left"/>
    </w:pPr>
    <w:rPr>
      <w:rFonts w:ascii="Arial" w:hAnsi="Arial"/>
      <w:kern w:val="0"/>
      <w:sz w:val="20"/>
      <w:szCs w:val="20"/>
    </w:rPr>
  </w:style>
  <w:style w:type="paragraph" w:styleId="32">
    <w:name w:val="header"/>
    <w:basedOn w:val="1"/>
    <w:link w:val="73"/>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unhideWhenUsed/>
    <w:qFormat/>
    <w:uiPriority w:val="39"/>
    <w:rPr>
      <w:rFonts w:ascii="Calibri" w:hAnsi="Calibri"/>
    </w:rPr>
  </w:style>
  <w:style w:type="paragraph" w:styleId="34">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35">
    <w:name w:val="toc 2"/>
    <w:basedOn w:val="1"/>
    <w:next w:val="1"/>
    <w:autoRedefine/>
    <w:unhideWhenUsed/>
    <w:qFormat/>
    <w:uiPriority w:val="39"/>
    <w:pPr>
      <w:ind w:left="420" w:leftChars="200"/>
    </w:pPr>
    <w:rPr>
      <w:rFonts w:ascii="Calibri" w:hAnsi="Calibri"/>
    </w:rPr>
  </w:style>
  <w:style w:type="paragraph" w:styleId="36">
    <w:name w:val="Normal (Web)"/>
    <w:basedOn w:val="1"/>
    <w:autoRedefine/>
    <w:unhideWhenUsed/>
    <w:qFormat/>
    <w:uiPriority w:val="99"/>
    <w:rPr>
      <w:sz w:val="24"/>
    </w:rPr>
  </w:style>
  <w:style w:type="paragraph" w:styleId="37">
    <w:name w:val="Title"/>
    <w:basedOn w:val="1"/>
    <w:link w:val="166"/>
    <w:autoRedefine/>
    <w:qFormat/>
    <w:uiPriority w:val="0"/>
    <w:pPr>
      <w:spacing w:before="120" w:after="120" w:line="360" w:lineRule="auto"/>
      <w:jc w:val="center"/>
      <w:outlineLvl w:val="0"/>
    </w:pPr>
    <w:rPr>
      <w:rFonts w:ascii="黑体" w:hAnsi="Arial" w:eastAsia="黑体" w:cs="Arial"/>
      <w:b/>
      <w:bCs/>
      <w:kern w:val="0"/>
      <w:sz w:val="32"/>
      <w:szCs w:val="32"/>
    </w:rPr>
  </w:style>
  <w:style w:type="paragraph" w:styleId="38">
    <w:name w:val="annotation subject"/>
    <w:basedOn w:val="21"/>
    <w:next w:val="21"/>
    <w:link w:val="74"/>
    <w:autoRedefine/>
    <w:unhideWhenUsed/>
    <w:qFormat/>
    <w:uiPriority w:val="0"/>
    <w:rPr>
      <w:b/>
      <w:bCs/>
      <w:szCs w:val="20"/>
    </w:rPr>
  </w:style>
  <w:style w:type="paragraph" w:styleId="39">
    <w:name w:val="Body Text First Indent"/>
    <w:basedOn w:val="23"/>
    <w:link w:val="167"/>
    <w:autoRedefine/>
    <w:qFormat/>
    <w:uiPriority w:val="99"/>
    <w:pPr>
      <w:spacing w:after="120"/>
      <w:ind w:left="300" w:firstLine="420"/>
    </w:pPr>
    <w:rPr>
      <w:rFonts w:ascii="宋体" w:hAnsi="Verdana"/>
      <w:lang w:val="en-GB"/>
    </w:rPr>
  </w:style>
  <w:style w:type="paragraph" w:styleId="40">
    <w:name w:val="Body Text First Indent 2"/>
    <w:basedOn w:val="24"/>
    <w:next w:val="1"/>
    <w:autoRedefine/>
    <w:qFormat/>
    <w:uiPriority w:val="99"/>
    <w:pPr>
      <w:ind w:firstLine="420"/>
    </w:pPr>
  </w:style>
  <w:style w:type="table" w:styleId="42">
    <w:name w:val="Table Grid"/>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rFonts w:ascii="Tahoma" w:hAnsi="Tahoma" w:eastAsia="宋体"/>
      <w:b/>
      <w:bCs/>
      <w:spacing w:val="10"/>
      <w:sz w:val="24"/>
      <w:lang w:val="en-US" w:eastAsia="zh-CN" w:bidi="ar-SA"/>
    </w:rPr>
  </w:style>
  <w:style w:type="character" w:styleId="45">
    <w:name w:val="page number"/>
    <w:autoRedefine/>
    <w:qFormat/>
    <w:uiPriority w:val="0"/>
  </w:style>
  <w:style w:type="character" w:styleId="46">
    <w:name w:val="FollowedHyperlink"/>
    <w:autoRedefine/>
    <w:unhideWhenUsed/>
    <w:qFormat/>
    <w:uiPriority w:val="0"/>
    <w:rPr>
      <w:color w:val="333333"/>
      <w:u w:val="none"/>
    </w:rPr>
  </w:style>
  <w:style w:type="character" w:styleId="47">
    <w:name w:val="Emphasis"/>
    <w:autoRedefine/>
    <w:qFormat/>
    <w:uiPriority w:val="0"/>
    <w:rPr>
      <w:rFonts w:ascii="Times New Roman" w:hAnsi="Times New Roman"/>
      <w:i/>
      <w:iCs/>
      <w:sz w:val="21"/>
      <w:szCs w:val="20"/>
    </w:rPr>
  </w:style>
  <w:style w:type="character" w:styleId="48">
    <w:name w:val="HTML Definition"/>
    <w:autoRedefine/>
    <w:unhideWhenUsed/>
    <w:qFormat/>
    <w:uiPriority w:val="99"/>
    <w:rPr>
      <w:i/>
    </w:rPr>
  </w:style>
  <w:style w:type="character" w:styleId="49">
    <w:name w:val="Hyperlink"/>
    <w:autoRedefine/>
    <w:unhideWhenUsed/>
    <w:qFormat/>
    <w:uiPriority w:val="99"/>
    <w:rPr>
      <w:color w:val="333333"/>
      <w:u w:val="none"/>
    </w:rPr>
  </w:style>
  <w:style w:type="character" w:styleId="50">
    <w:name w:val="HTML Code"/>
    <w:autoRedefine/>
    <w:unhideWhenUsed/>
    <w:qFormat/>
    <w:uiPriority w:val="99"/>
    <w:rPr>
      <w:rFonts w:ascii="Consolas" w:hAnsi="Consolas" w:eastAsia="Consolas" w:cs="Consolas"/>
      <w:color w:val="C7254E"/>
      <w:sz w:val="21"/>
      <w:szCs w:val="21"/>
      <w:shd w:val="clear" w:color="auto" w:fill="F9F2F4"/>
    </w:rPr>
  </w:style>
  <w:style w:type="character" w:styleId="51">
    <w:name w:val="annotation reference"/>
    <w:autoRedefine/>
    <w:unhideWhenUsed/>
    <w:qFormat/>
    <w:uiPriority w:val="0"/>
    <w:rPr>
      <w:sz w:val="21"/>
      <w:szCs w:val="21"/>
    </w:rPr>
  </w:style>
  <w:style w:type="character" w:styleId="52">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3">
    <w:name w:val="HTML Sample"/>
    <w:autoRedefine/>
    <w:unhideWhenUsed/>
    <w:qFormat/>
    <w:uiPriority w:val="99"/>
    <w:rPr>
      <w:rFonts w:hint="default" w:ascii="Consolas" w:hAnsi="Consolas" w:eastAsia="Consolas" w:cs="Consolas"/>
      <w:sz w:val="21"/>
      <w:szCs w:val="21"/>
    </w:rPr>
  </w:style>
  <w:style w:type="character" w:customStyle="1" w:styleId="54">
    <w:name w:val="标题 1 Char"/>
    <w:link w:val="10"/>
    <w:autoRedefine/>
    <w:qFormat/>
    <w:uiPriority w:val="99"/>
    <w:rPr>
      <w:b/>
      <w:bCs/>
      <w:kern w:val="44"/>
      <w:sz w:val="44"/>
      <w:szCs w:val="44"/>
    </w:rPr>
  </w:style>
  <w:style w:type="character" w:customStyle="1" w:styleId="55">
    <w:name w:val="标题 2 Char"/>
    <w:link w:val="11"/>
    <w:autoRedefine/>
    <w:qFormat/>
    <w:uiPriority w:val="0"/>
    <w:rPr>
      <w:rFonts w:ascii="Arial" w:hAnsi="Arial" w:eastAsia="宋体" w:cs="Times New Roman"/>
      <w:b/>
      <w:bCs/>
      <w:kern w:val="0"/>
      <w:sz w:val="28"/>
      <w:szCs w:val="36"/>
    </w:rPr>
  </w:style>
  <w:style w:type="character" w:customStyle="1" w:styleId="56">
    <w:name w:val="标题 3 Char"/>
    <w:link w:val="12"/>
    <w:autoRedefine/>
    <w:qFormat/>
    <w:uiPriority w:val="0"/>
    <w:rPr>
      <w:rFonts w:ascii="Arial" w:hAnsi="Arial" w:eastAsia="黑体" w:cs="Times New Roman"/>
      <w:b/>
      <w:bCs/>
      <w:kern w:val="0"/>
      <w:sz w:val="30"/>
      <w:szCs w:val="32"/>
    </w:rPr>
  </w:style>
  <w:style w:type="character" w:customStyle="1" w:styleId="57">
    <w:name w:val="标题 4 Char"/>
    <w:link w:val="13"/>
    <w:autoRedefine/>
    <w:qFormat/>
    <w:uiPriority w:val="0"/>
    <w:rPr>
      <w:rFonts w:ascii="Arial" w:hAnsi="Arial" w:eastAsia="黑体" w:cs="Arial"/>
      <w:b/>
      <w:bCs/>
      <w:sz w:val="28"/>
      <w:szCs w:val="28"/>
    </w:rPr>
  </w:style>
  <w:style w:type="character" w:customStyle="1" w:styleId="58">
    <w:name w:val="正文缩进 Char"/>
    <w:link w:val="14"/>
    <w:autoRedefine/>
    <w:qFormat/>
    <w:uiPriority w:val="0"/>
  </w:style>
  <w:style w:type="character" w:customStyle="1" w:styleId="59">
    <w:name w:val="标题 5 Char"/>
    <w:link w:val="15"/>
    <w:autoRedefine/>
    <w:qFormat/>
    <w:uiPriority w:val="0"/>
    <w:rPr>
      <w:rFonts w:ascii="Calibri" w:hAnsi="Calibri" w:eastAsia="宋体" w:cs="Times New Roman"/>
      <w:b/>
      <w:bCs/>
      <w:kern w:val="0"/>
      <w:sz w:val="28"/>
      <w:szCs w:val="28"/>
    </w:rPr>
  </w:style>
  <w:style w:type="character" w:customStyle="1" w:styleId="60">
    <w:name w:val="标题 6 Char"/>
    <w:link w:val="16"/>
    <w:autoRedefine/>
    <w:qFormat/>
    <w:uiPriority w:val="0"/>
    <w:rPr>
      <w:rFonts w:ascii="Cambria" w:hAnsi="Cambria" w:eastAsia="宋体" w:cs="Times New Roman"/>
      <w:b/>
      <w:bCs/>
      <w:kern w:val="0"/>
      <w:sz w:val="24"/>
      <w:szCs w:val="24"/>
    </w:rPr>
  </w:style>
  <w:style w:type="character" w:customStyle="1" w:styleId="61">
    <w:name w:val="标题 7 Char"/>
    <w:link w:val="17"/>
    <w:autoRedefine/>
    <w:qFormat/>
    <w:uiPriority w:val="0"/>
    <w:rPr>
      <w:rFonts w:ascii="Times New Roman" w:hAnsi="Times New Roman" w:eastAsia="宋体" w:cs="Times New Roman"/>
      <w:b/>
      <w:bCs/>
      <w:kern w:val="0"/>
      <w:sz w:val="24"/>
      <w:szCs w:val="24"/>
    </w:rPr>
  </w:style>
  <w:style w:type="character" w:customStyle="1" w:styleId="62">
    <w:name w:val="标题 8 Char"/>
    <w:link w:val="18"/>
    <w:autoRedefine/>
    <w:qFormat/>
    <w:uiPriority w:val="0"/>
    <w:rPr>
      <w:rFonts w:ascii="Cambria" w:hAnsi="Cambria" w:eastAsia="宋体" w:cs="Times New Roman"/>
      <w:kern w:val="0"/>
      <w:sz w:val="24"/>
      <w:szCs w:val="24"/>
    </w:rPr>
  </w:style>
  <w:style w:type="character" w:customStyle="1" w:styleId="63">
    <w:name w:val="标题 9 Char"/>
    <w:link w:val="19"/>
    <w:autoRedefine/>
    <w:qFormat/>
    <w:uiPriority w:val="0"/>
    <w:rPr>
      <w:rFonts w:ascii="Cambria" w:hAnsi="Cambria" w:eastAsia="宋体" w:cs="Times New Roman"/>
      <w:kern w:val="0"/>
      <w:sz w:val="20"/>
      <w:szCs w:val="21"/>
    </w:rPr>
  </w:style>
  <w:style w:type="character" w:customStyle="1" w:styleId="64">
    <w:name w:val="文档结构图 Char"/>
    <w:link w:val="20"/>
    <w:autoRedefine/>
    <w:qFormat/>
    <w:uiPriority w:val="0"/>
    <w:rPr>
      <w:rFonts w:ascii="宋体" w:hAnsi="Times New Roman"/>
      <w:kern w:val="2"/>
      <w:sz w:val="18"/>
      <w:szCs w:val="18"/>
    </w:rPr>
  </w:style>
  <w:style w:type="character" w:customStyle="1" w:styleId="65">
    <w:name w:val="批注文字 Char1"/>
    <w:link w:val="21"/>
    <w:autoRedefine/>
    <w:qFormat/>
    <w:uiPriority w:val="99"/>
    <w:rPr>
      <w:rFonts w:ascii="Times New Roman" w:hAnsi="Times New Roman" w:eastAsia="宋体" w:cs="Times New Roman"/>
      <w:szCs w:val="24"/>
    </w:rPr>
  </w:style>
  <w:style w:type="character" w:customStyle="1" w:styleId="66">
    <w:name w:val="正文文本 3 Char"/>
    <w:link w:val="22"/>
    <w:autoRedefine/>
    <w:qFormat/>
    <w:uiPriority w:val="0"/>
    <w:rPr>
      <w:rFonts w:ascii="宋体" w:hAnsi="Times New Roman"/>
      <w:kern w:val="2"/>
      <w:sz w:val="24"/>
    </w:rPr>
  </w:style>
  <w:style w:type="character" w:customStyle="1" w:styleId="67">
    <w:name w:val="正文文本 Char"/>
    <w:link w:val="23"/>
    <w:autoRedefine/>
    <w:qFormat/>
    <w:uiPriority w:val="99"/>
    <w:rPr>
      <w:rFonts w:ascii="楷体_GB2312" w:hAnsi="Arial" w:eastAsia="楷体_GB2312" w:cs="Times New Roman"/>
      <w:sz w:val="28"/>
      <w:szCs w:val="28"/>
    </w:rPr>
  </w:style>
  <w:style w:type="character" w:customStyle="1" w:styleId="68">
    <w:name w:val="正文文本缩进 Char"/>
    <w:link w:val="24"/>
    <w:autoRedefine/>
    <w:qFormat/>
    <w:uiPriority w:val="99"/>
    <w:rPr>
      <w:rFonts w:ascii="Times New Roman" w:hAnsi="Times New Roman"/>
      <w:szCs w:val="24"/>
    </w:rPr>
  </w:style>
  <w:style w:type="character" w:customStyle="1" w:styleId="69">
    <w:name w:val="纯文本 Char"/>
    <w:link w:val="27"/>
    <w:autoRedefine/>
    <w:qFormat/>
    <w:uiPriority w:val="0"/>
    <w:rPr>
      <w:rFonts w:ascii="宋体" w:hAnsi="Courier New" w:eastAsia="宋体" w:cs="Times New Roman"/>
      <w:szCs w:val="21"/>
    </w:rPr>
  </w:style>
  <w:style w:type="character" w:customStyle="1" w:styleId="70">
    <w:name w:val="正文文本缩进 2 Char"/>
    <w:link w:val="28"/>
    <w:autoRedefine/>
    <w:qFormat/>
    <w:uiPriority w:val="0"/>
    <w:rPr>
      <w:rFonts w:ascii="楷体_GB2312" w:hAnsi="Times New Roman" w:eastAsia="楷体_GB2312"/>
      <w:b/>
      <w:bCs/>
      <w:sz w:val="28"/>
      <w:szCs w:val="24"/>
    </w:rPr>
  </w:style>
  <w:style w:type="character" w:customStyle="1" w:styleId="71">
    <w:name w:val="批注框文本 Char"/>
    <w:link w:val="29"/>
    <w:autoRedefine/>
    <w:qFormat/>
    <w:uiPriority w:val="0"/>
    <w:rPr>
      <w:sz w:val="18"/>
      <w:szCs w:val="18"/>
    </w:rPr>
  </w:style>
  <w:style w:type="character" w:customStyle="1" w:styleId="72">
    <w:name w:val="页脚 Char"/>
    <w:link w:val="30"/>
    <w:autoRedefine/>
    <w:qFormat/>
    <w:uiPriority w:val="99"/>
    <w:rPr>
      <w:rFonts w:ascii="Times New Roman" w:hAnsi="Times New Roman" w:eastAsia="宋体" w:cs="Times New Roman"/>
      <w:sz w:val="18"/>
      <w:szCs w:val="18"/>
    </w:rPr>
  </w:style>
  <w:style w:type="character" w:customStyle="1" w:styleId="73">
    <w:name w:val="页眉 Char"/>
    <w:link w:val="32"/>
    <w:autoRedefine/>
    <w:qFormat/>
    <w:uiPriority w:val="0"/>
    <w:rPr>
      <w:rFonts w:ascii="Times New Roman" w:hAnsi="Times New Roman" w:eastAsia="宋体" w:cs="Times New Roman"/>
      <w:sz w:val="18"/>
      <w:szCs w:val="18"/>
    </w:rPr>
  </w:style>
  <w:style w:type="character" w:customStyle="1" w:styleId="74">
    <w:name w:val="批注主题 Char"/>
    <w:link w:val="38"/>
    <w:autoRedefine/>
    <w:qFormat/>
    <w:uiPriority w:val="0"/>
    <w:rPr>
      <w:b/>
      <w:bCs/>
    </w:rPr>
  </w:style>
  <w:style w:type="character" w:customStyle="1" w:styleId="75">
    <w:name w:val="font231"/>
    <w:autoRedefine/>
    <w:qFormat/>
    <w:uiPriority w:val="0"/>
    <w:rPr>
      <w:rFonts w:hint="eastAsia" w:ascii="宋体" w:hAnsi="宋体" w:eastAsia="宋体" w:cs="宋体"/>
      <w:color w:val="000000"/>
      <w:sz w:val="20"/>
      <w:szCs w:val="20"/>
      <w:u w:val="none"/>
    </w:rPr>
  </w:style>
  <w:style w:type="character" w:customStyle="1" w:styleId="76">
    <w:name w:val="font01"/>
    <w:autoRedefine/>
    <w:qFormat/>
    <w:uiPriority w:val="0"/>
    <w:rPr>
      <w:rFonts w:hint="eastAsia" w:ascii="宋体" w:hAnsi="宋体" w:eastAsia="宋体"/>
      <w:color w:val="000000"/>
      <w:sz w:val="24"/>
      <w:szCs w:val="24"/>
      <w:u w:val="none"/>
    </w:rPr>
  </w:style>
  <w:style w:type="character" w:customStyle="1" w:styleId="77">
    <w:name w:val="表格样式居左 Char"/>
    <w:link w:val="78"/>
    <w:autoRedefine/>
    <w:qFormat/>
    <w:uiPriority w:val="0"/>
    <w:rPr>
      <w:rFonts w:eastAsia="仿宋_GB2312"/>
      <w:bCs/>
      <w:color w:val="000000"/>
      <w:kern w:val="2"/>
      <w:sz w:val="21"/>
      <w:szCs w:val="44"/>
      <w:lang w:val="en-US" w:eastAsia="zh-CN" w:bidi="ar-SA"/>
    </w:rPr>
  </w:style>
  <w:style w:type="paragraph" w:customStyle="1" w:styleId="78">
    <w:name w:val="表格样式居左"/>
    <w:link w:val="77"/>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79">
    <w:name w:val="font211"/>
    <w:autoRedefine/>
    <w:qFormat/>
    <w:uiPriority w:val="0"/>
    <w:rPr>
      <w:rFonts w:hint="eastAsia" w:ascii="宋体" w:hAnsi="宋体" w:eastAsia="宋体" w:cs="宋体"/>
      <w:color w:val="FF0000"/>
      <w:sz w:val="20"/>
      <w:szCs w:val="20"/>
      <w:u w:val="none"/>
      <w:vertAlign w:val="superscript"/>
    </w:rPr>
  </w:style>
  <w:style w:type="character" w:customStyle="1" w:styleId="80">
    <w:name w:val="font201"/>
    <w:autoRedefine/>
    <w:qFormat/>
    <w:uiPriority w:val="0"/>
    <w:rPr>
      <w:rFonts w:hint="default" w:ascii="Times New Roman" w:hAnsi="Times New Roman" w:cs="Times New Roman"/>
      <w:color w:val="000000"/>
      <w:sz w:val="20"/>
      <w:szCs w:val="20"/>
      <w:u w:val="none"/>
    </w:rPr>
  </w:style>
  <w:style w:type="character" w:customStyle="1" w:styleId="81">
    <w:name w:val="Char Char8"/>
    <w:autoRedefine/>
    <w:qFormat/>
    <w:uiPriority w:val="0"/>
    <w:rPr>
      <w:rFonts w:ascii="Calibri" w:hAnsi="Calibri" w:eastAsia="宋体" w:cs="Times New Roman"/>
      <w:b/>
      <w:bCs/>
      <w:sz w:val="28"/>
      <w:szCs w:val="28"/>
    </w:rPr>
  </w:style>
  <w:style w:type="character" w:customStyle="1" w:styleId="82">
    <w:name w:val="批注主题 Char1"/>
    <w:autoRedefine/>
    <w:semiHidden/>
    <w:qFormat/>
    <w:uiPriority w:val="99"/>
    <w:rPr>
      <w:rFonts w:ascii="Times New Roman" w:hAnsi="Times New Roman" w:eastAsia="宋体" w:cs="Times New Roman"/>
      <w:b/>
      <w:bCs/>
      <w:szCs w:val="24"/>
    </w:rPr>
  </w:style>
  <w:style w:type="character" w:customStyle="1" w:styleId="83">
    <w:name w:val="font71"/>
    <w:autoRedefine/>
    <w:qFormat/>
    <w:uiPriority w:val="0"/>
    <w:rPr>
      <w:rFonts w:hint="eastAsia" w:ascii="宋体" w:hAnsi="宋体" w:eastAsia="宋体" w:cs="宋体"/>
      <w:color w:val="000000"/>
      <w:sz w:val="20"/>
      <w:szCs w:val="20"/>
      <w:u w:val="none"/>
    </w:rPr>
  </w:style>
  <w:style w:type="character" w:customStyle="1" w:styleId="84">
    <w:name w:val="段落 Char1"/>
    <w:link w:val="85"/>
    <w:autoRedefine/>
    <w:qFormat/>
    <w:uiPriority w:val="0"/>
    <w:rPr>
      <w:rFonts w:eastAsia="仿宋_GB2312"/>
      <w:kern w:val="2"/>
      <w:sz w:val="32"/>
      <w:szCs w:val="32"/>
      <w:lang w:val="en-US" w:eastAsia="zh-CN" w:bidi="ar-SA"/>
    </w:rPr>
  </w:style>
  <w:style w:type="paragraph" w:customStyle="1" w:styleId="85">
    <w:name w:val="段落"/>
    <w:link w:val="84"/>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86">
    <w:name w:val="font61"/>
    <w:autoRedefine/>
    <w:qFormat/>
    <w:uiPriority w:val="0"/>
    <w:rPr>
      <w:rFonts w:hint="eastAsia" w:ascii="宋体" w:hAnsi="宋体" w:eastAsia="宋体" w:cs="宋体"/>
      <w:color w:val="000000"/>
      <w:sz w:val="20"/>
      <w:szCs w:val="20"/>
      <w:u w:val="none"/>
    </w:rPr>
  </w:style>
  <w:style w:type="character" w:customStyle="1" w:styleId="87">
    <w:name w:val="正文文本缩进 2 Char1"/>
    <w:autoRedefine/>
    <w:semiHidden/>
    <w:qFormat/>
    <w:uiPriority w:val="99"/>
  </w:style>
  <w:style w:type="character" w:customStyle="1" w:styleId="88">
    <w:name w:val="标题 5 字符"/>
    <w:autoRedefine/>
    <w:semiHidden/>
    <w:qFormat/>
    <w:uiPriority w:val="0"/>
    <w:rPr>
      <w:rFonts w:ascii="Calibri" w:hAnsi="Calibri"/>
      <w:b/>
      <w:bCs/>
      <w:kern w:val="2"/>
      <w:sz w:val="28"/>
      <w:szCs w:val="28"/>
    </w:rPr>
  </w:style>
  <w:style w:type="character" w:customStyle="1" w:styleId="89">
    <w:name w:val="font101"/>
    <w:autoRedefine/>
    <w:qFormat/>
    <w:uiPriority w:val="0"/>
    <w:rPr>
      <w:rFonts w:hint="eastAsia" w:ascii="宋体" w:hAnsi="宋体" w:eastAsia="宋体" w:cs="宋体"/>
      <w:b/>
      <w:color w:val="000000"/>
      <w:sz w:val="18"/>
      <w:szCs w:val="18"/>
      <w:u w:val="none"/>
    </w:rPr>
  </w:style>
  <w:style w:type="character" w:customStyle="1" w:styleId="90">
    <w:name w:val="font191"/>
    <w:autoRedefine/>
    <w:qFormat/>
    <w:uiPriority w:val="0"/>
    <w:rPr>
      <w:rFonts w:ascii="Wingdings 2" w:hAnsi="Wingdings 2" w:eastAsia="Wingdings 2" w:cs="Wingdings 2"/>
      <w:color w:val="000000"/>
      <w:sz w:val="20"/>
      <w:szCs w:val="20"/>
      <w:u w:val="none"/>
    </w:rPr>
  </w:style>
  <w:style w:type="character" w:customStyle="1" w:styleId="91">
    <w:name w:val="项目排列 Char"/>
    <w:link w:val="92"/>
    <w:autoRedefine/>
    <w:qFormat/>
    <w:uiPriority w:val="0"/>
    <w:rPr>
      <w:sz w:val="24"/>
      <w:szCs w:val="24"/>
    </w:rPr>
  </w:style>
  <w:style w:type="paragraph" w:customStyle="1" w:styleId="92">
    <w:name w:val="项目排列"/>
    <w:basedOn w:val="1"/>
    <w:link w:val="91"/>
    <w:autoRedefine/>
    <w:qFormat/>
    <w:uiPriority w:val="0"/>
    <w:pPr>
      <w:numPr>
        <w:ilvl w:val="0"/>
        <w:numId w:val="3"/>
      </w:numPr>
      <w:tabs>
        <w:tab w:val="left" w:pos="900"/>
      </w:tabs>
      <w:spacing w:beforeLines="50" w:afterLines="50" w:line="300" w:lineRule="auto"/>
    </w:pPr>
    <w:rPr>
      <w:kern w:val="0"/>
      <w:sz w:val="24"/>
      <w:szCs w:val="24"/>
    </w:rPr>
  </w:style>
  <w:style w:type="character" w:customStyle="1" w:styleId="93">
    <w:name w:val="apple-style-span"/>
    <w:autoRedefine/>
    <w:qFormat/>
    <w:uiPriority w:val="0"/>
  </w:style>
  <w:style w:type="character" w:customStyle="1" w:styleId="94">
    <w:name w:val="font51"/>
    <w:basedOn w:val="43"/>
    <w:autoRedefine/>
    <w:qFormat/>
    <w:uiPriority w:val="0"/>
    <w:rPr>
      <w:rFonts w:hint="eastAsia" w:ascii="宋体" w:hAnsi="宋体" w:eastAsia="宋体" w:cs="宋体"/>
      <w:b/>
      <w:color w:val="000000"/>
      <w:sz w:val="20"/>
      <w:szCs w:val="20"/>
      <w:u w:val="none"/>
    </w:rPr>
  </w:style>
  <w:style w:type="character" w:customStyle="1" w:styleId="95">
    <w:name w:val="Char Char10"/>
    <w:autoRedefine/>
    <w:qFormat/>
    <w:uiPriority w:val="0"/>
    <w:rPr>
      <w:rFonts w:ascii="Arial" w:hAnsi="Arial" w:eastAsia="黑体" w:cs="Times New Roman"/>
      <w:b/>
      <w:bCs/>
      <w:sz w:val="30"/>
      <w:szCs w:val="32"/>
    </w:rPr>
  </w:style>
  <w:style w:type="character" w:customStyle="1" w:styleId="96">
    <w:name w:val="_Style 93"/>
    <w:autoRedefine/>
    <w:qFormat/>
    <w:uiPriority w:val="19"/>
    <w:rPr>
      <w:rFonts w:ascii="Times New Roman" w:hAnsi="Times New Roman"/>
      <w:i/>
      <w:iCs/>
      <w:color w:val="808080"/>
      <w:sz w:val="21"/>
      <w:szCs w:val="20"/>
    </w:rPr>
  </w:style>
  <w:style w:type="character" w:customStyle="1" w:styleId="97">
    <w:name w:val="表格样式居中 Char"/>
    <w:link w:val="98"/>
    <w:autoRedefine/>
    <w:qFormat/>
    <w:uiPriority w:val="0"/>
    <w:rPr>
      <w:rFonts w:ascii="宋体" w:hAnsi="宋体"/>
      <w:bCs/>
      <w:kern w:val="44"/>
      <w:sz w:val="21"/>
      <w:szCs w:val="21"/>
      <w:lang w:val="zh-CN" w:eastAsia="zh-CN" w:bidi="ar-SA"/>
    </w:rPr>
  </w:style>
  <w:style w:type="paragraph" w:customStyle="1" w:styleId="98">
    <w:name w:val="表格样式居中"/>
    <w:link w:val="97"/>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99">
    <w:name w:val="font241"/>
    <w:autoRedefine/>
    <w:qFormat/>
    <w:uiPriority w:val="0"/>
    <w:rPr>
      <w:rFonts w:hint="eastAsia" w:ascii="宋体" w:hAnsi="宋体" w:eastAsia="宋体" w:cs="宋体"/>
      <w:color w:val="000000"/>
      <w:sz w:val="20"/>
      <w:szCs w:val="20"/>
      <w:u w:val="none"/>
    </w:rPr>
  </w:style>
  <w:style w:type="character" w:customStyle="1" w:styleId="100">
    <w:name w:val="一级缩进 Char"/>
    <w:link w:val="101"/>
    <w:autoRedefine/>
    <w:qFormat/>
    <w:uiPriority w:val="0"/>
    <w:rPr>
      <w:rFonts w:eastAsia="仿宋_GB2312"/>
      <w:kern w:val="2"/>
      <w:sz w:val="32"/>
      <w:szCs w:val="32"/>
      <w:lang w:val="en-US" w:eastAsia="zh-CN" w:bidi="ar-SA"/>
    </w:rPr>
  </w:style>
  <w:style w:type="paragraph" w:customStyle="1" w:styleId="101">
    <w:name w:val="一级缩进"/>
    <w:link w:val="100"/>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2">
    <w:name w:val="批注框文本 Char1"/>
    <w:autoRedefine/>
    <w:semiHidden/>
    <w:qFormat/>
    <w:uiPriority w:val="99"/>
    <w:rPr>
      <w:rFonts w:ascii="Times New Roman" w:hAnsi="Times New Roman"/>
      <w:kern w:val="2"/>
      <w:sz w:val="18"/>
      <w:szCs w:val="18"/>
    </w:rPr>
  </w:style>
  <w:style w:type="character" w:customStyle="1" w:styleId="103">
    <w:name w:val="列出段落 Char"/>
    <w:link w:val="104"/>
    <w:autoRedefine/>
    <w:qFormat/>
    <w:locked/>
    <w:uiPriority w:val="0"/>
    <w:rPr>
      <w:rFonts w:ascii="Calibri" w:hAnsi="Calibri" w:eastAsia="宋体" w:cs="Times New Roman"/>
    </w:rPr>
  </w:style>
  <w:style w:type="paragraph" w:customStyle="1" w:styleId="104">
    <w:name w:val="列出段落1"/>
    <w:basedOn w:val="1"/>
    <w:link w:val="103"/>
    <w:autoRedefine/>
    <w:qFormat/>
    <w:uiPriority w:val="0"/>
    <w:pPr>
      <w:ind w:firstLine="200" w:firstLineChars="200"/>
    </w:pPr>
    <w:rPr>
      <w:rFonts w:ascii="Calibri" w:hAnsi="Calibri"/>
      <w:kern w:val="0"/>
      <w:sz w:val="20"/>
      <w:szCs w:val="20"/>
    </w:rPr>
  </w:style>
  <w:style w:type="character" w:customStyle="1" w:styleId="105">
    <w:name w:val="Char Char9"/>
    <w:autoRedefine/>
    <w:qFormat/>
    <w:uiPriority w:val="0"/>
    <w:rPr>
      <w:rFonts w:ascii="等线 Light" w:hAnsi="等线 Light" w:eastAsia="等线 Light" w:cs="Times New Roman"/>
      <w:b/>
      <w:bCs/>
      <w:sz w:val="28"/>
      <w:szCs w:val="28"/>
    </w:rPr>
  </w:style>
  <w:style w:type="character" w:customStyle="1" w:styleId="106">
    <w:name w:val="批注文字 Char"/>
    <w:autoRedefine/>
    <w:qFormat/>
    <w:uiPriority w:val="0"/>
    <w:rPr>
      <w:kern w:val="2"/>
      <w:sz w:val="21"/>
      <w:szCs w:val="22"/>
    </w:rPr>
  </w:style>
  <w:style w:type="character" w:customStyle="1" w:styleId="107">
    <w:name w:val="表格文字 Char"/>
    <w:link w:val="108"/>
    <w:autoRedefine/>
    <w:qFormat/>
    <w:uiPriority w:val="0"/>
    <w:rPr>
      <w:kern w:val="21"/>
      <w:szCs w:val="21"/>
    </w:rPr>
  </w:style>
  <w:style w:type="paragraph" w:customStyle="1" w:styleId="108">
    <w:name w:val="表格文字"/>
    <w:basedOn w:val="1"/>
    <w:link w:val="107"/>
    <w:autoRedefine/>
    <w:qFormat/>
    <w:uiPriority w:val="0"/>
    <w:pPr>
      <w:jc w:val="left"/>
    </w:pPr>
    <w:rPr>
      <w:kern w:val="21"/>
      <w:sz w:val="20"/>
      <w:szCs w:val="21"/>
    </w:rPr>
  </w:style>
  <w:style w:type="character" w:customStyle="1" w:styleId="109">
    <w:name w:val="font11"/>
    <w:basedOn w:val="43"/>
    <w:autoRedefine/>
    <w:qFormat/>
    <w:uiPriority w:val="0"/>
    <w:rPr>
      <w:rFonts w:hint="eastAsia" w:ascii="宋体" w:hAnsi="宋体" w:eastAsia="宋体" w:cs="宋体"/>
      <w:color w:val="000000"/>
      <w:sz w:val="20"/>
      <w:szCs w:val="20"/>
      <w:u w:val="none"/>
    </w:rPr>
  </w:style>
  <w:style w:type="character" w:customStyle="1" w:styleId="110">
    <w:name w:val="font21"/>
    <w:autoRedefine/>
    <w:qFormat/>
    <w:uiPriority w:val="0"/>
    <w:rPr>
      <w:rFonts w:hint="eastAsia" w:ascii="仿宋_GB2312" w:hAnsi="Times New Roman" w:eastAsia="仿宋_GB2312" w:cs="仿宋_GB2312"/>
      <w:color w:val="000000"/>
      <w:sz w:val="22"/>
      <w:szCs w:val="22"/>
      <w:u w:val="none"/>
    </w:rPr>
  </w:style>
  <w:style w:type="character" w:customStyle="1" w:styleId="111">
    <w:name w:val="正文1 Char Char"/>
    <w:link w:val="112"/>
    <w:autoRedefine/>
    <w:qFormat/>
    <w:locked/>
    <w:uiPriority w:val="99"/>
    <w:rPr>
      <w:rFonts w:ascii="微软雅黑" w:hAnsi="微软雅黑" w:eastAsia="微软雅黑"/>
      <w:kern w:val="2"/>
      <w:sz w:val="24"/>
    </w:rPr>
  </w:style>
  <w:style w:type="paragraph" w:customStyle="1" w:styleId="112">
    <w:name w:val="正文1"/>
    <w:basedOn w:val="1"/>
    <w:link w:val="111"/>
    <w:autoRedefine/>
    <w:qFormat/>
    <w:uiPriority w:val="99"/>
    <w:pPr>
      <w:snapToGrid w:val="0"/>
      <w:spacing w:line="440" w:lineRule="exact"/>
      <w:ind w:firstLine="480" w:firstLineChars="200"/>
    </w:pPr>
    <w:rPr>
      <w:rFonts w:ascii="微软雅黑" w:hAnsi="微软雅黑" w:eastAsia="微软雅黑"/>
      <w:sz w:val="24"/>
      <w:szCs w:val="20"/>
    </w:rPr>
  </w:style>
  <w:style w:type="character" w:customStyle="1" w:styleId="113">
    <w:name w:val="font131"/>
    <w:autoRedefine/>
    <w:qFormat/>
    <w:uiPriority w:val="0"/>
    <w:rPr>
      <w:rFonts w:ascii="Wingdings 2" w:hAnsi="Wingdings 2" w:eastAsia="Wingdings 2" w:cs="Wingdings 2"/>
      <w:color w:val="000000"/>
      <w:sz w:val="20"/>
      <w:szCs w:val="20"/>
      <w:u w:val="none"/>
    </w:rPr>
  </w:style>
  <w:style w:type="character" w:customStyle="1" w:styleId="114">
    <w:name w:val="unnamed11"/>
    <w:autoRedefine/>
    <w:qFormat/>
    <w:uiPriority w:val="99"/>
    <w:rPr>
      <w:rFonts w:hint="eastAsia" w:ascii="宋体" w:hAnsi="宋体" w:eastAsia="宋体"/>
      <w:sz w:val="21"/>
      <w:szCs w:val="21"/>
    </w:rPr>
  </w:style>
  <w:style w:type="character" w:customStyle="1" w:styleId="115">
    <w:name w:val="font81"/>
    <w:autoRedefine/>
    <w:qFormat/>
    <w:uiPriority w:val="0"/>
    <w:rPr>
      <w:rFonts w:ascii="Symbol" w:hAnsi="Symbol" w:cs="Symbol"/>
      <w:color w:val="000000"/>
      <w:sz w:val="20"/>
      <w:szCs w:val="20"/>
      <w:u w:val="none"/>
    </w:rPr>
  </w:style>
  <w:style w:type="character" w:customStyle="1" w:styleId="116">
    <w:name w:val="文档结构图 Char1"/>
    <w:autoRedefine/>
    <w:semiHidden/>
    <w:qFormat/>
    <w:uiPriority w:val="99"/>
    <w:rPr>
      <w:rFonts w:ascii="宋体"/>
      <w:kern w:val="2"/>
      <w:sz w:val="18"/>
      <w:szCs w:val="18"/>
    </w:rPr>
  </w:style>
  <w:style w:type="character" w:customStyle="1" w:styleId="117">
    <w:name w:val="正文文本 3 Char1"/>
    <w:autoRedefine/>
    <w:semiHidden/>
    <w:qFormat/>
    <w:uiPriority w:val="99"/>
    <w:rPr>
      <w:kern w:val="2"/>
      <w:sz w:val="16"/>
      <w:szCs w:val="16"/>
    </w:rPr>
  </w:style>
  <w:style w:type="character" w:customStyle="1" w:styleId="118">
    <w:name w:val="font221"/>
    <w:autoRedefine/>
    <w:qFormat/>
    <w:uiPriority w:val="0"/>
    <w:rPr>
      <w:rFonts w:hint="eastAsia" w:ascii="宋体" w:hAnsi="宋体" w:eastAsia="宋体" w:cs="宋体"/>
      <w:b/>
      <w:color w:val="000000"/>
      <w:sz w:val="20"/>
      <w:szCs w:val="20"/>
      <w:u w:val="none"/>
    </w:rPr>
  </w:style>
  <w:style w:type="character" w:customStyle="1" w:styleId="119">
    <w:name w:val="正文文本缩进 Char1"/>
    <w:autoRedefine/>
    <w:semiHidden/>
    <w:qFormat/>
    <w:uiPriority w:val="99"/>
  </w:style>
  <w:style w:type="character" w:customStyle="1" w:styleId="120">
    <w:name w:val="NormalCharacter"/>
    <w:autoRedefine/>
    <w:qFormat/>
    <w:uiPriority w:val="0"/>
    <w:rPr>
      <w:kern w:val="2"/>
      <w:sz w:val="21"/>
      <w:szCs w:val="22"/>
      <w:lang w:val="en-US" w:eastAsia="zh-CN" w:bidi="ar-SA"/>
    </w:rPr>
  </w:style>
  <w:style w:type="character" w:customStyle="1" w:styleId="121">
    <w:name w:val="font111"/>
    <w:autoRedefine/>
    <w:qFormat/>
    <w:uiPriority w:val="0"/>
    <w:rPr>
      <w:rFonts w:hint="eastAsia" w:ascii="宋体" w:hAnsi="宋体" w:eastAsia="宋体" w:cs="宋体"/>
      <w:color w:val="FF0000"/>
      <w:sz w:val="18"/>
      <w:szCs w:val="18"/>
      <w:u w:val="none"/>
    </w:rPr>
  </w:style>
  <w:style w:type="character" w:customStyle="1" w:styleId="122">
    <w:name w:val="Char Char11"/>
    <w:autoRedefine/>
    <w:qFormat/>
    <w:uiPriority w:val="0"/>
    <w:rPr>
      <w:rFonts w:ascii="Arial" w:hAnsi="Arial" w:eastAsia="宋体" w:cs="Times New Roman"/>
      <w:b/>
      <w:bCs/>
      <w:sz w:val="28"/>
      <w:szCs w:val="36"/>
    </w:rPr>
  </w:style>
  <w:style w:type="character" w:customStyle="1" w:styleId="123">
    <w:name w:val="top_title1"/>
    <w:autoRedefine/>
    <w:qFormat/>
    <w:uiPriority w:val="0"/>
    <w:rPr>
      <w:b/>
      <w:bCs/>
      <w:color w:val="333333"/>
      <w:sz w:val="24"/>
      <w:szCs w:val="24"/>
    </w:rPr>
  </w:style>
  <w:style w:type="character" w:customStyle="1" w:styleId="124">
    <w:name w:val="正文缩进 Char1"/>
    <w:autoRedefine/>
    <w:qFormat/>
    <w:locked/>
    <w:uiPriority w:val="0"/>
    <w:rPr>
      <w:rFonts w:ascii="Times New Roman" w:hAnsi="Times New Roman" w:eastAsia="宋体" w:cs="Times New Roman"/>
      <w:szCs w:val="20"/>
    </w:rPr>
  </w:style>
  <w:style w:type="character" w:customStyle="1" w:styleId="125">
    <w:name w:val="Char Char12"/>
    <w:autoRedefine/>
    <w:qFormat/>
    <w:uiPriority w:val="0"/>
    <w:rPr>
      <w:b/>
      <w:bCs/>
      <w:kern w:val="44"/>
      <w:sz w:val="44"/>
      <w:szCs w:val="44"/>
    </w:rPr>
  </w:style>
  <w:style w:type="character" w:customStyle="1" w:styleId="126">
    <w:name w:val="font41"/>
    <w:basedOn w:val="43"/>
    <w:autoRedefine/>
    <w:qFormat/>
    <w:uiPriority w:val="0"/>
    <w:rPr>
      <w:rFonts w:hint="eastAsia" w:ascii="宋体" w:hAnsi="宋体" w:eastAsia="宋体"/>
      <w:color w:val="000000"/>
      <w:sz w:val="32"/>
      <w:szCs w:val="32"/>
      <w:u w:val="none"/>
    </w:rPr>
  </w:style>
  <w:style w:type="character" w:customStyle="1" w:styleId="127">
    <w:name w:val="font91"/>
    <w:autoRedefine/>
    <w:qFormat/>
    <w:uiPriority w:val="0"/>
    <w:rPr>
      <w:rFonts w:hint="eastAsia" w:ascii="宋体" w:hAnsi="宋体" w:eastAsia="宋体" w:cs="宋体"/>
      <w:color w:val="000000"/>
      <w:sz w:val="16"/>
      <w:szCs w:val="16"/>
      <w:u w:val="none"/>
    </w:rPr>
  </w:style>
  <w:style w:type="character" w:customStyle="1" w:styleId="128">
    <w:name w:val="hover4"/>
    <w:autoRedefine/>
    <w:qFormat/>
    <w:uiPriority w:val="0"/>
    <w:rPr>
      <w:color w:val="999999"/>
    </w:rPr>
  </w:style>
  <w:style w:type="character" w:customStyle="1" w:styleId="129">
    <w:name w:val="ca-161"/>
    <w:autoRedefine/>
    <w:qFormat/>
    <w:uiPriority w:val="0"/>
    <w:rPr>
      <w:rFonts w:hint="eastAsia" w:ascii="宋体" w:hAnsi="宋体" w:eastAsia="宋体"/>
      <w:spacing w:val="0"/>
      <w:sz w:val="21"/>
      <w:szCs w:val="21"/>
    </w:rPr>
  </w:style>
  <w:style w:type="character" w:customStyle="1" w:styleId="130">
    <w:name w:val="font161"/>
    <w:autoRedefine/>
    <w:qFormat/>
    <w:uiPriority w:val="0"/>
    <w:rPr>
      <w:rFonts w:hint="eastAsia" w:ascii="宋体" w:hAnsi="宋体" w:eastAsia="宋体" w:cs="宋体"/>
      <w:b/>
      <w:color w:val="FF0000"/>
      <w:sz w:val="20"/>
      <w:szCs w:val="20"/>
      <w:u w:val="none"/>
    </w:rPr>
  </w:style>
  <w:style w:type="character" w:customStyle="1" w:styleId="131">
    <w:name w:val="font141"/>
    <w:autoRedefine/>
    <w:qFormat/>
    <w:uiPriority w:val="0"/>
    <w:rPr>
      <w:rFonts w:hint="eastAsia" w:ascii="宋体" w:hAnsi="宋体" w:eastAsia="宋体" w:cs="宋体"/>
      <w:color w:val="FF0000"/>
      <w:sz w:val="20"/>
      <w:szCs w:val="20"/>
      <w:u w:val="none"/>
      <w:vertAlign w:val="superscript"/>
    </w:rPr>
  </w:style>
  <w:style w:type="character" w:customStyle="1" w:styleId="132">
    <w:name w:val="H2 Char"/>
    <w:autoRedefine/>
    <w:qFormat/>
    <w:uiPriority w:val="0"/>
    <w:rPr>
      <w:rFonts w:ascii="Arial" w:hAnsi="Arial" w:eastAsia="黑体" w:cs="Times New Roman"/>
      <w:b/>
      <w:bCs/>
      <w:sz w:val="32"/>
      <w:szCs w:val="32"/>
    </w:rPr>
  </w:style>
  <w:style w:type="character" w:customStyle="1" w:styleId="133">
    <w:name w:val="font171"/>
    <w:autoRedefine/>
    <w:qFormat/>
    <w:uiPriority w:val="0"/>
    <w:rPr>
      <w:rFonts w:hint="eastAsia" w:ascii="宋体" w:hAnsi="宋体" w:eastAsia="宋体" w:cs="宋体"/>
      <w:color w:val="000000"/>
      <w:sz w:val="20"/>
      <w:szCs w:val="20"/>
      <w:u w:val="none"/>
    </w:rPr>
  </w:style>
  <w:style w:type="character" w:customStyle="1" w:styleId="134">
    <w:name w:val="无间隔 Char"/>
    <w:link w:val="135"/>
    <w:autoRedefine/>
    <w:qFormat/>
    <w:locked/>
    <w:uiPriority w:val="0"/>
    <w:rPr>
      <w:kern w:val="2"/>
      <w:sz w:val="21"/>
      <w:szCs w:val="22"/>
      <w:lang w:val="en-US" w:eastAsia="zh-CN" w:bidi="ar-SA"/>
    </w:rPr>
  </w:style>
  <w:style w:type="paragraph" w:customStyle="1" w:styleId="135">
    <w:name w:val="msonospacing"/>
    <w:link w:val="13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正文 1.1"/>
    <w:basedOn w:val="1"/>
    <w:next w:val="137"/>
    <w:autoRedefine/>
    <w:qFormat/>
    <w:uiPriority w:val="0"/>
    <w:pPr>
      <w:numPr>
        <w:ilvl w:val="1"/>
        <w:numId w:val="4"/>
      </w:numPr>
      <w:ind w:firstLine="550"/>
      <w:outlineLvl w:val="1"/>
    </w:pPr>
    <w:rPr>
      <w:rFonts w:ascii="仿宋" w:hAnsi="仿宋"/>
      <w:b/>
    </w:rPr>
  </w:style>
  <w:style w:type="paragraph" w:customStyle="1" w:styleId="137">
    <w:name w:val="正文 1.1.1"/>
    <w:basedOn w:val="1"/>
    <w:next w:val="1"/>
    <w:autoRedefine/>
    <w:qFormat/>
    <w:uiPriority w:val="0"/>
    <w:pPr>
      <w:numPr>
        <w:ilvl w:val="2"/>
        <w:numId w:val="4"/>
      </w:numPr>
      <w:outlineLvl w:val="2"/>
    </w:pPr>
    <w:rPr>
      <w:rFonts w:hAnsi="宋体"/>
      <w:color w:val="FF0000"/>
    </w:rPr>
  </w:style>
  <w:style w:type="paragraph" w:customStyle="1" w:styleId="138">
    <w:name w:val="Char1 Char Char Char Char Char Char"/>
    <w:basedOn w:val="1"/>
    <w:autoRedefine/>
    <w:qFormat/>
    <w:uiPriority w:val="0"/>
    <w:rPr>
      <w:szCs w:val="24"/>
    </w:rPr>
  </w:style>
  <w:style w:type="paragraph" w:customStyle="1" w:styleId="139">
    <w:name w:val="ListBullet2"/>
    <w:basedOn w:val="1"/>
    <w:autoRedefine/>
    <w:qFormat/>
    <w:uiPriority w:val="0"/>
    <w:pPr>
      <w:tabs>
        <w:tab w:val="left" w:pos="780"/>
      </w:tabs>
      <w:ind w:left="780" w:hanging="360"/>
      <w:textAlignment w:val="baseline"/>
    </w:pPr>
  </w:style>
  <w:style w:type="paragraph" w:customStyle="1" w:styleId="140">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1">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2">
    <w:name w:val="文档标题"/>
    <w:basedOn w:val="1"/>
    <w:autoRedefine/>
    <w:qFormat/>
    <w:uiPriority w:val="0"/>
    <w:pPr>
      <w:spacing w:beforeLines="100" w:afterLines="100" w:line="300" w:lineRule="auto"/>
      <w:jc w:val="center"/>
    </w:pPr>
    <w:rPr>
      <w:rFonts w:ascii="Arial" w:hAnsi="Arial" w:eastAsia="黑体" w:cs="Arial"/>
      <w:b/>
      <w:sz w:val="48"/>
      <w:szCs w:val="32"/>
    </w:rPr>
  </w:style>
  <w:style w:type="paragraph" w:customStyle="1" w:styleId="143">
    <w:name w:val="Char"/>
    <w:basedOn w:val="1"/>
    <w:autoRedefine/>
    <w:qFormat/>
    <w:uiPriority w:val="0"/>
    <w:pPr>
      <w:tabs>
        <w:tab w:val="left" w:pos="360"/>
      </w:tabs>
      <w:ind w:firstLine="200" w:firstLineChars="200"/>
    </w:pPr>
    <w:rPr>
      <w:sz w:val="28"/>
      <w:szCs w:val="30"/>
    </w:rPr>
  </w:style>
  <w:style w:type="paragraph" w:customStyle="1" w:styleId="144">
    <w:name w:val="Char1"/>
    <w:basedOn w:val="1"/>
    <w:autoRedefine/>
    <w:qFormat/>
    <w:uiPriority w:val="0"/>
    <w:rPr>
      <w:rFonts w:ascii="仿宋_GB2312" w:eastAsia="仿宋_GB2312"/>
      <w:b/>
      <w:sz w:val="32"/>
      <w:szCs w:val="32"/>
    </w:rPr>
  </w:style>
  <w:style w:type="paragraph" w:customStyle="1" w:styleId="14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6">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47">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List Paragraph1"/>
    <w:basedOn w:val="1"/>
    <w:autoRedefine/>
    <w:qFormat/>
    <w:uiPriority w:val="0"/>
    <w:pPr>
      <w:ind w:firstLine="420" w:firstLineChars="200"/>
    </w:pPr>
    <w:rPr>
      <w:szCs w:val="20"/>
    </w:rPr>
  </w:style>
  <w:style w:type="paragraph" w:customStyle="1" w:styleId="149">
    <w:name w:val="CD 正文"/>
    <w:basedOn w:val="1"/>
    <w:autoRedefine/>
    <w:qFormat/>
    <w:uiPriority w:val="0"/>
    <w:pPr>
      <w:jc w:val="left"/>
    </w:pPr>
    <w:rPr>
      <w:rFonts w:ascii="Arial" w:hAnsi="Arial" w:eastAsia="微软雅黑" w:cs="Arial"/>
      <w:szCs w:val="21"/>
    </w:rPr>
  </w:style>
  <w:style w:type="paragraph" w:customStyle="1" w:styleId="150">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1">
    <w:name w:val="Default Paragraph Font Para Char"/>
    <w:basedOn w:val="1"/>
    <w:autoRedefine/>
    <w:qFormat/>
    <w:uiPriority w:val="0"/>
    <w:pPr>
      <w:widowControl/>
      <w:spacing w:beforeLines="50" w:after="160" w:line="240" w:lineRule="exact"/>
      <w:jc w:val="left"/>
    </w:pPr>
    <w:rPr>
      <w:rFonts w:ascii="Verdana" w:hAnsi="Verdana"/>
      <w:kern w:val="0"/>
      <w:sz w:val="20"/>
      <w:szCs w:val="20"/>
      <w:lang w:eastAsia="en-US"/>
    </w:rPr>
  </w:style>
  <w:style w:type="paragraph" w:customStyle="1" w:styleId="152">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53">
    <w:name w:val="Char2"/>
    <w:basedOn w:val="1"/>
    <w:autoRedefine/>
    <w:qFormat/>
    <w:uiPriority w:val="0"/>
    <w:pPr>
      <w:tabs>
        <w:tab w:val="left" w:pos="1350"/>
      </w:tabs>
      <w:ind w:left="1350" w:hanging="1350"/>
    </w:pPr>
    <w:rPr>
      <w:sz w:val="24"/>
      <w:szCs w:val="24"/>
    </w:rPr>
  </w:style>
  <w:style w:type="paragraph" w:customStyle="1" w:styleId="154">
    <w:name w:val="纯文本1"/>
    <w:autoRedefine/>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5">
    <w:name w:val="Char Char Char Char Char Char Char"/>
    <w:basedOn w:val="20"/>
    <w:autoRedefine/>
    <w:qFormat/>
    <w:uiPriority w:val="0"/>
    <w:pPr>
      <w:shd w:val="clear" w:color="auto" w:fill="000080"/>
    </w:pPr>
    <w:rPr>
      <w:rFonts w:ascii="Times New Roman"/>
      <w:sz w:val="21"/>
      <w:szCs w:val="20"/>
    </w:rPr>
  </w:style>
  <w:style w:type="paragraph" w:customStyle="1" w:styleId="156">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4"/>
    </w:rPr>
  </w:style>
  <w:style w:type="paragraph" w:styleId="157">
    <w:name w:val="List Paragraph"/>
    <w:basedOn w:val="1"/>
    <w:autoRedefine/>
    <w:qFormat/>
    <w:uiPriority w:val="34"/>
    <w:pPr>
      <w:ind w:left="720"/>
    </w:pPr>
    <w:rPr>
      <w:szCs w:val="21"/>
    </w:rPr>
  </w:style>
  <w:style w:type="paragraph" w:customStyle="1" w:styleId="158">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59">
    <w:name w:val="p0"/>
    <w:basedOn w:val="1"/>
    <w:autoRedefine/>
    <w:qFormat/>
    <w:uiPriority w:val="0"/>
    <w:pPr>
      <w:widowControl/>
    </w:pPr>
    <w:rPr>
      <w:kern w:val="0"/>
      <w:szCs w:val="21"/>
    </w:rPr>
  </w:style>
  <w:style w:type="paragraph" w:customStyle="1" w:styleId="16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1">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_Style 2"/>
    <w:basedOn w:val="1"/>
    <w:autoRedefine/>
    <w:qFormat/>
    <w:uiPriority w:val="34"/>
    <w:pPr>
      <w:ind w:firstLine="420" w:firstLineChars="200"/>
    </w:pPr>
    <w:rPr>
      <w:szCs w:val="24"/>
    </w:rPr>
  </w:style>
  <w:style w:type="paragraph" w:customStyle="1" w:styleId="163">
    <w:name w:val="Table Paragraph"/>
    <w:basedOn w:val="1"/>
    <w:autoRedefine/>
    <w:qFormat/>
    <w:uiPriority w:val="1"/>
    <w:rPr>
      <w:rFonts w:ascii="Calibri" w:hAnsi="Calibri"/>
      <w:lang w:eastAsia="en-US"/>
    </w:rPr>
  </w:style>
  <w:style w:type="character" w:customStyle="1" w:styleId="164">
    <w:name w:val="font31"/>
    <w:autoRedefine/>
    <w:qFormat/>
    <w:uiPriority w:val="0"/>
    <w:rPr>
      <w:rFonts w:hint="eastAsia" w:ascii="宋体" w:hAnsi="宋体" w:eastAsia="宋体"/>
      <w:color w:val="000000"/>
      <w:sz w:val="21"/>
      <w:szCs w:val="21"/>
      <w:u w:val="none"/>
    </w:rPr>
  </w:style>
  <w:style w:type="paragraph" w:customStyle="1" w:styleId="165">
    <w:name w:val="UserStyle_0"/>
    <w:basedOn w:val="1"/>
    <w:autoRedefine/>
    <w:qFormat/>
    <w:uiPriority w:val="0"/>
    <w:pPr>
      <w:ind w:firstLine="480" w:firstLineChars="200"/>
      <w:textAlignment w:val="baseline"/>
    </w:pPr>
  </w:style>
  <w:style w:type="character" w:customStyle="1" w:styleId="166">
    <w:name w:val="标题 Char"/>
    <w:basedOn w:val="43"/>
    <w:link w:val="37"/>
    <w:autoRedefine/>
    <w:qFormat/>
    <w:uiPriority w:val="0"/>
    <w:rPr>
      <w:rFonts w:ascii="黑体" w:hAnsi="Arial" w:eastAsia="黑体" w:cs="Arial"/>
      <w:b/>
      <w:bCs/>
      <w:sz w:val="32"/>
      <w:szCs w:val="32"/>
    </w:rPr>
  </w:style>
  <w:style w:type="character" w:customStyle="1" w:styleId="167">
    <w:name w:val="正文首行缩进 Char"/>
    <w:link w:val="39"/>
    <w:autoRedefine/>
    <w:qFormat/>
    <w:uiPriority w:val="99"/>
    <w:rPr>
      <w:rFonts w:ascii="宋体" w:hAnsi="Verdana" w:eastAsia="楷体_GB2312"/>
      <w:sz w:val="28"/>
      <w:szCs w:val="28"/>
      <w:lang w:val="en-GB"/>
    </w:rPr>
  </w:style>
  <w:style w:type="paragraph" w:customStyle="1" w:styleId="168">
    <w:name w:val="Default"/>
    <w:autoRedefine/>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9">
    <w:name w:val="默认段落字体 Para Char Char Char"/>
    <w:basedOn w:val="1"/>
    <w:autoRedefine/>
    <w:qFormat/>
    <w:uiPriority w:val="0"/>
    <w:rPr>
      <w:szCs w:val="24"/>
    </w:rPr>
  </w:style>
  <w:style w:type="paragraph" w:customStyle="1" w:styleId="170">
    <w:name w:val="BodyText1I"/>
    <w:basedOn w:val="171"/>
    <w:autoRedefine/>
    <w:qFormat/>
    <w:uiPriority w:val="99"/>
    <w:pPr>
      <w:spacing w:after="120"/>
      <w:ind w:firstLine="420" w:firstLineChars="100"/>
    </w:pPr>
    <w:rPr>
      <w:rFonts w:ascii="Times New Roman" w:eastAsia="宋体" w:cs="Times New Roman"/>
      <w:sz w:val="20"/>
      <w:szCs w:val="20"/>
    </w:rPr>
  </w:style>
  <w:style w:type="paragraph" w:customStyle="1" w:styleId="171">
    <w:name w:val="BodyText"/>
    <w:basedOn w:val="1"/>
    <w:autoRedefine/>
    <w:qFormat/>
    <w:uiPriority w:val="99"/>
    <w:rPr>
      <w:rFonts w:ascii="华文中宋" w:eastAsia="Times New Roman" w:cs="华文中宋"/>
      <w:kern w:val="0"/>
      <w:sz w:val="28"/>
      <w:szCs w:val="28"/>
    </w:rPr>
  </w:style>
  <w:style w:type="paragraph" w:customStyle="1" w:styleId="172">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17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样式 小四 段前: 5 磅 段后: 5 磅 首行缩进:  2 字符"/>
    <w:basedOn w:val="1"/>
    <w:autoRedefine/>
    <w:qFormat/>
    <w:uiPriority w:val="0"/>
    <w:pPr>
      <w:tabs>
        <w:tab w:val="left" w:pos="0"/>
        <w:tab w:val="left" w:pos="1560"/>
      </w:tabs>
      <w:spacing w:before="93" w:beforeLines="30" w:after="93" w:afterLines="30"/>
      <w:jc w:val="center"/>
    </w:pPr>
    <w:rPr>
      <w:rFonts w:ascii="宋体" w:hAnsi="宋体"/>
      <w:color w:val="000000"/>
      <w:kern w:val="0"/>
      <w:sz w:val="34"/>
      <w:szCs w:val="21"/>
    </w:rPr>
  </w:style>
  <w:style w:type="paragraph" w:customStyle="1" w:styleId="175">
    <w:name w:val="列出段落11"/>
    <w:basedOn w:val="1"/>
    <w:autoRedefine/>
    <w:qFormat/>
    <w:uiPriority w:val="99"/>
    <w:pPr>
      <w:ind w:firstLine="420" w:firstLineChars="200"/>
    </w:pPr>
    <w:rPr>
      <w:rFonts w:ascii="Calibri" w:hAnsi="Calibri"/>
    </w:rPr>
  </w:style>
  <w:style w:type="paragraph" w:customStyle="1" w:styleId="176">
    <w:name w:val="msolistparagraph"/>
    <w:basedOn w:val="1"/>
    <w:autoRedefine/>
    <w:qFormat/>
    <w:uiPriority w:val="0"/>
    <w:pPr>
      <w:ind w:firstLine="420" w:firstLineChars="200"/>
    </w:pPr>
    <w:rPr>
      <w:szCs w:val="21"/>
    </w:rPr>
  </w:style>
  <w:style w:type="paragraph" w:customStyle="1" w:styleId="177">
    <w:name w:val="CM26"/>
    <w:basedOn w:val="1"/>
    <w:next w:val="1"/>
    <w:autoRedefine/>
    <w:qFormat/>
    <w:uiPriority w:val="99"/>
    <w:pPr>
      <w:autoSpaceDE w:val="0"/>
      <w:autoSpaceDN w:val="0"/>
      <w:adjustRightInd w:val="0"/>
      <w:spacing w:line="400" w:lineRule="atLeast"/>
      <w:jc w:val="left"/>
    </w:pPr>
    <w:rPr>
      <w:rFonts w:ascii="宋体" w:hAnsi="宋体"/>
      <w:kern w:val="0"/>
      <w:sz w:val="24"/>
      <w:szCs w:val="20"/>
    </w:rPr>
  </w:style>
  <w:style w:type="character" w:customStyle="1" w:styleId="178">
    <w:name w:val="font151"/>
    <w:autoRedefine/>
    <w:qFormat/>
    <w:uiPriority w:val="0"/>
    <w:rPr>
      <w:rFonts w:hint="eastAsia" w:ascii="微软雅黑" w:hAnsi="微软雅黑" w:eastAsia="微软雅黑" w:cs="微软雅黑"/>
      <w:color w:val="000000"/>
      <w:sz w:val="21"/>
      <w:szCs w:val="21"/>
      <w:u w:val="none"/>
    </w:rPr>
  </w:style>
  <w:style w:type="paragraph" w:customStyle="1" w:styleId="179">
    <w:name w:val="_Style 46"/>
    <w:autoRedefine/>
    <w:unhideWhenUsed/>
    <w:qFormat/>
    <w:uiPriority w:val="99"/>
    <w:rPr>
      <w:rFonts w:ascii="宋体" w:hAnsi="Times New Roman" w:eastAsia="宋体" w:cs="Times New Roman"/>
      <w:sz w:val="34"/>
      <w:lang w:val="en-US" w:eastAsia="zh-CN" w:bidi="ar-SA"/>
    </w:rPr>
  </w:style>
  <w:style w:type="paragraph" w:customStyle="1" w:styleId="180">
    <w:name w:val="一般"/>
    <w:autoRedefine/>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181">
    <w:name w:val="表格样式 2 A"/>
    <w:autoRedefine/>
    <w:qFormat/>
    <w:uiPriority w:val="0"/>
    <w:rPr>
      <w:rFonts w:hint="eastAsia" w:ascii="Arial Unicode MS" w:hAnsi="Arial Unicode MS" w:eastAsia="Helvetica Neue" w:cs="Arial Unicode MS"/>
      <w:color w:val="000000"/>
      <w:sz w:val="22"/>
      <w:szCs w:val="22"/>
      <w:u w:color="000000"/>
      <w:lang w:val="en-US" w:eastAsia="zh-CN" w:bidi="ar-SA"/>
    </w:rPr>
  </w:style>
  <w:style w:type="character" w:customStyle="1" w:styleId="182">
    <w:name w:val="批注文字 字符"/>
    <w:autoRedefine/>
    <w:qFormat/>
    <w:uiPriority w:val="0"/>
    <w:rPr>
      <w:rFonts w:ascii="宋体"/>
      <w:sz w:val="34"/>
    </w:rPr>
  </w:style>
  <w:style w:type="character" w:customStyle="1" w:styleId="183">
    <w:name w:val="页脚 字符"/>
    <w:autoRedefine/>
    <w:qFormat/>
    <w:uiPriority w:val="99"/>
    <w:rPr>
      <w:rFonts w:ascii="宋体"/>
      <w:sz w:val="18"/>
    </w:rPr>
  </w:style>
  <w:style w:type="paragraph" w:customStyle="1" w:styleId="184">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4258</Words>
  <Characters>24277</Characters>
  <Lines>202</Lines>
  <Paragraphs>56</Paragraphs>
  <TotalTime>0</TotalTime>
  <ScaleCrop>false</ScaleCrop>
  <LinksUpToDate>false</LinksUpToDate>
  <CharactersWithSpaces>28479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耿帆</cp:lastModifiedBy>
  <cp:lastPrinted>2024-03-06T01:27:00Z</cp:lastPrinted>
  <dcterms:modified xsi:type="dcterms:W3CDTF">2024-03-18T03:52:13Z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3DEF4B40829041D38405784E77161732_13</vt:lpwstr>
  </property>
</Properties>
</file>