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44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52"/>
          <w:highlight w:val="none"/>
          <w14:textFill>
            <w14:solidFill>
              <w14:schemeClr w14:val="tx1"/>
            </w14:solidFill>
          </w14:textFill>
        </w:rPr>
        <w:t>扬州维投地产有限公司</w:t>
      </w:r>
    </w:p>
    <w:p>
      <w:pPr>
        <w:pStyle w:val="1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44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GZ513地块仓储式超市租赁经营项目</w:t>
      </w:r>
      <w:r>
        <w:rPr>
          <w:rFonts w:hint="eastAsia"/>
          <w:b/>
          <w:bCs/>
          <w:color w:val="000000" w:themeColor="text1"/>
          <w:sz w:val="44"/>
          <w:szCs w:val="52"/>
          <w:highlight w:val="none"/>
          <w14:textFill>
            <w14:solidFill>
              <w14:schemeClr w14:val="tx1"/>
            </w14:solidFill>
          </w14:textFill>
        </w:rPr>
        <w:t>招</w:t>
      </w:r>
      <w:r>
        <w:rPr>
          <w:rFonts w:hint="eastAsia"/>
          <w:b/>
          <w:bCs/>
          <w:color w:val="000000" w:themeColor="text1"/>
          <w:sz w:val="44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/>
          <w:b/>
          <w:bCs/>
          <w:color w:val="000000" w:themeColor="text1"/>
          <w:sz w:val="44"/>
          <w:szCs w:val="52"/>
          <w:highlight w:val="none"/>
          <w14:textFill>
            <w14:solidFill>
              <w14:schemeClr w14:val="tx1"/>
            </w14:solidFill>
          </w14:textFill>
        </w:rPr>
        <w:t>文件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/>
          <w:b/>
          <w:bCs/>
          <w:snapToGrid w:val="0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ascii="宋体"/>
          <w:b/>
          <w:bCs/>
          <w:snapToGrid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rPr>
          <w:rFonts w:ascii="宋体"/>
          <w:b/>
          <w:bCs/>
          <w:snapToGrid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ascii="宋体"/>
          <w:b/>
          <w:bCs/>
          <w:snapToGrid w:val="0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代理机构（章）：江苏苏维工程管理有限公司</w:t>
      </w: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ind w:firstLine="2409" w:firstLineChars="800"/>
        <w:rPr>
          <w:rFonts w:ascii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406"/>
        </w:tabs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ascii="宋体" w:hAnsi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目</w:t>
      </w:r>
      <w:r>
        <w:rPr>
          <w:rFonts w:ascii="宋体" w:hAnsi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录</w:t>
      </w:r>
    </w:p>
    <w:p>
      <w:pPr>
        <w:pStyle w:val="10"/>
        <w:keepNext w:val="0"/>
        <w:keepLines w:val="0"/>
        <w:pageBreakBefore w:val="0"/>
        <w:tabs>
          <w:tab w:val="right" w:leader="dot" w:pos="8296"/>
        </w:tabs>
        <w:kinsoku/>
        <w:overflowPunct/>
        <w:topLinePunct w:val="0"/>
        <w:bidi w:val="0"/>
        <w:spacing w:line="360" w:lineRule="auto"/>
        <w:jc w:val="center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instrText xml:space="preserve"> TOC \o "1-3" \f </w:instrText>
      </w:r>
      <w:r>
        <w:rPr>
          <w:rFonts w:ascii="宋体" w:hAnsi="宋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第一章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招标公告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10"/>
        <w:keepNext w:val="0"/>
        <w:keepLines w:val="0"/>
        <w:pageBreakBefore w:val="0"/>
        <w:tabs>
          <w:tab w:val="right" w:leader="dot" w:pos="8296"/>
        </w:tabs>
        <w:kinsoku/>
        <w:overflowPunct/>
        <w:topLinePunct w:val="0"/>
        <w:bidi w:val="0"/>
        <w:spacing w:line="360" w:lineRule="auto"/>
        <w:jc w:val="center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第二章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须知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10"/>
        <w:keepNext w:val="0"/>
        <w:keepLines w:val="0"/>
        <w:pageBreakBefore w:val="0"/>
        <w:tabs>
          <w:tab w:val="right" w:leader="dot" w:pos="8296"/>
        </w:tabs>
        <w:kinsoku/>
        <w:overflowPunct/>
        <w:topLinePunct w:val="0"/>
        <w:bidi w:val="0"/>
        <w:spacing w:line="360" w:lineRule="auto"/>
        <w:jc w:val="center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评审标准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</w:p>
    <w:p>
      <w:pPr>
        <w:pStyle w:val="10"/>
        <w:keepNext w:val="0"/>
        <w:keepLines w:val="0"/>
        <w:pageBreakBefore w:val="0"/>
        <w:tabs>
          <w:tab w:val="right" w:leader="dot" w:pos="8296"/>
        </w:tabs>
        <w:kinsoku/>
        <w:overflowPunct/>
        <w:topLinePunct w:val="0"/>
        <w:bidi w:val="0"/>
        <w:spacing w:line="360" w:lineRule="auto"/>
        <w:jc w:val="center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项目描述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</w:p>
    <w:p>
      <w:pPr>
        <w:pStyle w:val="10"/>
        <w:keepNext w:val="0"/>
        <w:keepLines w:val="0"/>
        <w:pageBreakBefore w:val="0"/>
        <w:tabs>
          <w:tab w:val="right" w:leader="dot" w:pos="8296"/>
        </w:tabs>
        <w:kinsoku/>
        <w:overflowPunct/>
        <w:topLinePunct w:val="0"/>
        <w:bidi w:val="0"/>
        <w:spacing w:line="360" w:lineRule="auto"/>
        <w:jc w:val="center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宋体" w:hAnsi="宋体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文件格式及附件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720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spacing w:line="360" w:lineRule="auto"/>
        <w:ind w:left="720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公告</w:t>
      </w:r>
    </w:p>
    <w:p>
      <w:pPr>
        <w:pStyle w:val="12"/>
        <w:numPr>
          <w:ilvl w:val="0"/>
          <w:numId w:val="0"/>
        </w:num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扬州维投地产有限公司（以下简称“招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人”）拟对GZ513地块</w:t>
      </w:r>
      <w:r>
        <w:rPr>
          <w:rFonts w:hint="eastAsia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仓储式超市</w:t>
      </w:r>
      <w:r>
        <w:rPr>
          <w:rFonts w:hint="eastAsia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租赁经营项目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实施招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，现欢迎符合相关条件的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人参加本次公开招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2"/>
        <w:jc w:val="left"/>
        <w:rPr>
          <w:rFonts w:ascii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一、江苏苏维工程管理有限公司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（以下简称“代理机构”）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负责代理本项目的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公开招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事宜。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2"/>
        <w:jc w:val="left"/>
        <w:rPr>
          <w:rFonts w:ascii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公开招租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GZ513地块仓储式超市租赁经营项目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项目地点：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GZ513地块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江苏省扬州市邗江区，四至范围为：东至国展路，南至明月湖路，西至规划用地边界，北至文昌西路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公开招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仓储式超市（地上2层），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计租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约1.9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(最终以实际计租面积为准，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计租面积的测量标准为：按结构外墙（不含装饰面层及雨篷）计算、乙方能够实际占有、使用的房屋建筑面积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本项目设置最低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限价：最低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限价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为35元/m</w:t>
      </w: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/月，投标人在报价时报初始租期第一个租约年的每平方米月租金即可，投标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报价不得低于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限价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，否则作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无效投标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（五）初始租期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，续租期以合同约定为准。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经营范围：仓储式超市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（七）租赁起始时间以合同约定为准。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ascii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三、资质要求：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hint="eastAsia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参加本次招</w:t>
      </w:r>
      <w:r>
        <w:rPr>
          <w:rFonts w:hint="eastAsia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活动的</w:t>
      </w:r>
      <w:r>
        <w:rPr>
          <w:rFonts w:hint="eastAsia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的资格条件为：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hint="eastAsia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在市场监督管理部门（或工商部门）登记注册的独立法人企业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或在市场监督管理部门（或工商部门）领取有效营业执照的分支机构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个体工商户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或自然人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2"/>
        <w:jc w:val="left"/>
        <w:rPr>
          <w:rFonts w:ascii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获取及现场勘察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ascii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发布及公告期限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公告在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“江苏省招标投标公共服务平台”、“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扬州维扬发展投资有限公司网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站”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上发布，公告期限自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2024年1月17日至2024年1月26日（北京时间）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文件在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“江苏省招标投标公共服务平台”、“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扬州维扬发展投资有限公司网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站”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载，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投标人如确定参加投标，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请如实填写《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参加投标确认函》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并按要求回复（电子邮箱：</w:t>
      </w:r>
      <w:bookmarkStart w:id="0" w:name="EBba9c9bd7b5a64bcfb0f2dcb71e0ea086"/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"mailto:1585473795@qq.com" </w:instrTex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237993999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@qq.com</w:t>
      </w:r>
      <w:bookmarkEnd w:id="0"/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，联系电话：0514-82129101、18105278928），同时需与代理机构经办人确认是否收到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参加投标确认函》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参加投标确认函》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接收截止时间：2024年1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 26日18：00（北京时间）。未报名（发送确认函）者、超过时限者不得前来参与投标。有关本次招标的事项若存在变动或修改，敬请及时关注“江苏省招标投标公共服务平台”、“扬州维扬发展投资有限公司网站”发布的信息更正公告。</w:t>
      </w:r>
    </w:p>
    <w:p>
      <w:pPr>
        <w:pStyle w:val="12"/>
        <w:ind w:left="0" w:leftChars="0" w:firstLine="464" w:firstLineChars="200"/>
        <w:rPr>
          <w:rFonts w:hint="default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hAnsi="宋体" w:cs="宋体"/>
          <w:b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hAnsi="宋体" w:cs="宋体"/>
          <w:b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自行勘察现场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投标人投标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文件递交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纸质版一式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份(一份正本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份副本) ，每份投标文件须清楚标明“正本”或“副本”字样，一旦正本和副本不符，以正本为准。电子版投标文件壹份(一般应为pdf格式，U盘形式（单独密封）、随纸质正本文件一并提交)。当电子版文件和纸质正本文件不一致时，以纸质正本文件为准。电子版文件用于辅助评标和存档，供应商需承担前述不一致造成的不利后果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firstLine="0" w:firstLineChars="0"/>
        <w:jc w:val="left"/>
        <w:textAlignment w:val="auto"/>
        <w:rPr>
          <w:rFonts w:hint="eastAsia" w:ascii="宋体" w:hAnsi="宋体" w:cs="宋体" w:eastAsiaTheme="minorEastAsia"/>
          <w:b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b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本项目接受现场投标和邮寄投标。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（一）现场投标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投标文件接收开始时间：2024年2月7日上午9:00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投标文件接收截止时间：2024年2月7日上午9:30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投标文件接收地点：扬州市翠岗路48号，江苏苏维工程管理有限公司三楼东开标四室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投标文件接收人：黄工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right="0" w:firstLine="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（二）邮寄投标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邮寄接收地点：扬州市邗江区翠岗路48号（江苏苏维工程管理有限公司招标代理部）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接收人及联系方式：黄工，0514-82129101、18105278928。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邮寄件必须密封且在外包装显著位置注明项目标识（项目名称和投标人名称），无标识或标识模糊不清的，不予接收。文件须在投标截止时间（2024年2月7日上午9:30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 w:cs="宋体" w:eastAsiaTheme="min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）前送达并由接收人签收，超期送达或外包装破损的邮寄件不予接收。投标人应充分考虑并自行承担邮寄造成的一切风险。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ascii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六、本次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公开招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扬州维投地产有限公司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代理机构：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江苏苏维工程管理有限公司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工    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0514-82129101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18105278928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地址：扬州市翠岗路48号 </w:t>
      </w:r>
    </w:p>
    <w:p>
      <w:pPr>
        <w:pStyle w:val="2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ascii="黑体" w:hAnsi="黑体" w:eastAsia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第二章</w:t>
      </w:r>
      <w:r>
        <w:rPr>
          <w:rFonts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须知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868"/>
        <w:gridCol w:w="1293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hint="eastAsia" w:ascii="Arial" w:hAnsi="Arial" w:cs="Arial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GZ513地块仓储式超市租赁经营项目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项目地点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江苏省扬州市邗江区，四至范围为：东至国展路，南至明月湖路，西至规划用地边界，北至文昌西路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项目代理机构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江苏苏维工程管理有限公司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hint="eastAsia" w:ascii="Arial" w:hAnsi="Arial" w:cs="Arial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Arial" w:hAnsi="Arial" w:cs="Arial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hint="eastAsia" w:ascii="Arial" w:hAnsi="Arial" w:cs="Arial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Arial" w:hAnsi="Arial" w:cs="Arial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0514-82129101</w:t>
            </w:r>
            <w:r>
              <w:rPr>
                <w:rFonts w:hint="eastAsia" w:ascii="Arial" w:hAnsi="Arial" w:cs="Arial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 w:hAnsi="Arial" w:cs="Arial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18105278928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hAnsi="Arial" w:eastAsia="宋体" w:cs="Arial"/>
                <w:b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租金说明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第一个租约年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租金最低限价：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35元/m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/月，投标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报价不得低于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最低限价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，否则作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无效投标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处理。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第一个租约年至第三个租约年的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租金相同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自第四个租约年起至第二十个租约年结束，租赁费用单价在第三个租约年的基础上每3年递增百分之五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4、续租期以合同约定为准。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default" w:ascii="Arial" w:hAnsi="Arial" w:cs="Arial"/>
                <w:color w:val="000000" w:themeColor="text1"/>
                <w:kern w:val="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5、投标人在报价时报初始租期第一个租约年的每平方米月租金即可，其余租约年的年租金按照上述1—3点说明计算。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Arial" w:hAnsi="Arial" w:cs="Arial" w:eastAsiaTheme="minor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开标有关信息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1、开标时间：2024年2月7日上午9:30（北京时间）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2、地点：扬州市翠岗路48号，江苏苏维工程管理有限公司三楼东开标四室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采用现场投标的，届时邀请投标人代表（仅限投标文件中确定的授权代表一人）出席开标会议。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采用邮寄投标的，投标人代表须在开标当日保持手机畅通。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overflowPunct/>
              <w:topLinePunct w:val="0"/>
              <w:bidi w:val="0"/>
              <w:spacing w:line="360" w:lineRule="auto"/>
              <w:ind w:firstLine="48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未派投标人代表参加开标的，视同认可开标结果。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ascii="Arial" w:hAnsi="Arial" w:cs="Arial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Arial" w:hAnsi="Arial" w:cs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文件有效期限</w:t>
            </w:r>
          </w:p>
        </w:tc>
        <w:tc>
          <w:tcPr>
            <w:tcW w:w="7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rPr>
                <w:rFonts w:ascii="Arial" w:hAnsi="Arial" w:cs="Arial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文件开启</w:t>
            </w:r>
            <w:r>
              <w:rPr>
                <w:rFonts w:hint="eastAsia" w:ascii="Arial" w:hAnsi="Arial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之日起</w:t>
            </w:r>
            <w:r>
              <w:rPr>
                <w:rFonts w:ascii="Arial" w:hAnsi="Arial" w:cs="Arial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Arial" w:hAnsi="Arial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asci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一、总则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方式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outlineLvl w:val="2"/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本次招标采取公开招标方式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、相关定义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）本文件中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扬州维投地产有限公司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（亦称供应商）系指参加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并满足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资格要求规定的法人、非法人组织；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人系指最后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、适用法律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《中华人民共和国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民法典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》等有关法律、规章和规定等。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的约束力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一旦参加本项目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活动，即被认为接受了本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的规定和约束。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hint="eastAsia" w:ascii="宋体" w:eastAsia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的构成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有以下部分组成：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公告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须知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）评审标准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）项目描述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文件格式及附件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应认真阅读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中所有的事项、格式、条款和规范等要求。按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要求和规定编制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文件，并保证所提供的全部资料的真实性，以使其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做出实质性响应，否则其风险由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自行承担。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被视为熟悉项目所在地以及履行合同的有关情况，包括涉及本项目的法律、法规、行业规定，以及自然环境、气候条件、公共设施等，本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不再对此进行描述。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的澄清、补充或修改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应仔细阅读和检查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的全部内容。如发现缺页或附件不全，应及时向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提出，以便补齐。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如须澄清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的疑点，可用信函或传真等书面形式通知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将用信函或传真等书面形式作出答复。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认为有必要时可将答复内容（包括原提出的问题，但不包括问题的来源）分发给所有取得同一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对已发出的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进行必要的澄清或者修改，以书面形式通知所有报名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，并同时在原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公告媒体上发布更正公告。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要求提交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文件递交截止时间前，有权决定延长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文件开启时间，并在原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公告媒体上发布变更公告。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、为使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在准备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文件时，有合理的时间考虑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的补充或修改，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将视情况可能推迟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文件开启时间，并将此变更以信函或传真等形式通知所有的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发出的所有补充、修改和变更文件均作为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的组成部分，与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具有同等法律效力。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hint="eastAsia" w:asci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文件的编制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文件的语言、计量单位、货币和编制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文件以及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之间函、电、文件和资料往来，都应以中文书写。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已印刷好的资料如产品样本、说明书等可以用其他语言，但其中要点应附有中文译文。对不同文本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文件的解释发生异议的，以中文文本为准。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所使用的计量单位应为国家法定计量单位。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文件应字迹清楚、内容齐全、不得涂改。如有修改，修改处须有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公章或法定代表人或其授权代表签字。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文件中写清相应的项目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全称、地址、电话、传真，并由授权代表签字或盖章。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应按照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所规定的内容顺序，统一用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规格幅面打印、装订成册并编制目录，逐页编码。由于编排混乱导致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文件被误读或查找不到，责任由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承担。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文件的构成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hint="eastAsia" w:ascii="宋体" w:hAnsi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投标人应当根据招标文件要求编制投标文件，投标文件应对招标文件提出的要求和条件作出响应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文件开启之日起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天内，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文件应保持有效，有效期短于此规定的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文件将视为无效。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）在特殊情况下，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协商延长有效期，此类要求和答复都应以信函、电报或传真的形式进行。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可以拒绝接受延期的要求而放弃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，同意延期的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不能修改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文件的签署及其形式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文件的正本应用打印机或不褪色墨水书写，且经授权代表签署，副本可以为正本的复印件。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文件不应有涂改、增删之处。但如有错误必须修改时，修改处必须由原授权代表签署或盖单位公章。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文件的递交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文件的密封及标记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应把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文件用封套加以密封。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5" w:firstLineChars="19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（2）封套上须按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提供的格式写明：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28" w:firstLineChars="440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28" w:firstLineChars="440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的全称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截止日期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文件须在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规定的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文件递交截止时间前现场递交到指定地点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接受邮递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可以按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的有关规定，以补充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的形式推迟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文件递交截止时间，在这种情况下，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的权利和义务都以新的截止时间为准。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文件由于不可抗力的原因遗失和损坏，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不负任何责任。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文件被拒绝接收的情形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文件递交截止时间以后递交的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拒绝接收。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文件的修改或撤回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文件递交之后，如果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书面的修改或撤回要求，使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能在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投标文件递交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截止时间前（不考虑不可抗力原因）收到，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可以接受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文件的修改或撤回。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的修改或撤回通知必须按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的有关规定并在封套上注明：“修改”或“撤回”字样封送给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hint="eastAsia" w:ascii="宋体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、在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文件递交截止时间之后和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文件有效期内，任何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文件不得撤回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hint="eastAsia" w:asci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四、评审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、评审委员会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）开启后，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组织评审委员会进行资格审查和评审。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）评审委员会独立开展评审工作且评审委员会人员构成符合有关规定。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）评委会独立工作，负责评审所有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文件并确定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侯选人。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、评审程序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）符合性检查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。评委会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的规定，从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文件的有效性、完整性和对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的响应程度进行审查，以确定是否对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的实质性要求作出响应。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）在详细评审之前，评审委员会将首先审查每份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文件是否实质性响应了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的要求，凡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文件的实质性内容和关键格式严重不符合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规定或不响应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要求的，经评审委员会认定作无效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文件处理。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不得通过修改或撤销不合要求的偏离或保留而使其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成为实质性响应的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。评委决定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文件的响应性只根据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文件本身的内容，而不寻求外部的证据。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（3）评审委员会完成评审后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评审专家对各部分得分进行汇总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计算各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的最终得分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候选人，并制作评审报告。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文件的澄清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为有利于评审，评审委员会认为需要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作出必要澄清、说明的，可随时请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对其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文件中含义不明确的内容、明显文字或者计算错误加以书面澄清、说明。这些资料经评审委员会认可后，可作为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文件的一部分参与评审。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、评审过程的保密与公正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文件开启后，直至向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授予合同时止，凡是与审查、澄清、评价和比较的有关资料以及结果确定建议等，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、评委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均不得向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或与评审无关的其他人员透露。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）在评审过程中，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不得以任何行为影响评审过程，否则其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文件将被作为无效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招标人、代理机构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和评审委员会不得向未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解释未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原因，也不公布评审过程中的相关细节。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、无效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文件条款和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终止条款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（1）无效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文件条款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）未按照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规定要求密封、签署、盖章的；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不具备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中规定资格要求的；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文件含有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不能接受的附加条件的；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）不符合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中规定的其他实质性要求和条件的；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）其他法律、法规及本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规定的属无效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文件的情形。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终止条款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1）出现影响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公正的违法、违规行为的；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2）因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不可抗力、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重大变故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等原因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取消的；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945" w:firstLineChars="450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3）评审委员会认定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存在歧义、重大缺陷导致评审工作无法进行的。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如满足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全部实质性要求的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足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三家，则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终止本次招标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outlineLvl w:val="1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五、确定结果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、确定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如满足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全部实质性要求的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三家，评审委员会根据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规定的评分办法与评分标准的各项因素综合评价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全部满足招标文件实质性要求的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文件，评审结果按评审后得分由高到低顺序排列。且按照评审因素的量化指标评审得分由高到低前三名的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投标人入围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候选人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根据评审委员会推荐的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候选人确定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排序第一名的为中标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000000"/>
          <w:szCs w:val="21"/>
          <w:highlight w:val="none"/>
        </w:rPr>
        <w:t>确定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/>
          <w:color w:val="000000"/>
          <w:szCs w:val="21"/>
          <w:highlight w:val="none"/>
        </w:rPr>
        <w:t>后，代理机构将在“江苏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省</w:t>
      </w:r>
      <w:r>
        <w:rPr>
          <w:rFonts w:hint="eastAsia" w:ascii="宋体" w:hAnsi="宋体"/>
          <w:color w:val="000000"/>
          <w:szCs w:val="21"/>
          <w:highlight w:val="none"/>
        </w:rPr>
        <w:t>招标投标公共服务平台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Cs w:val="21"/>
          <w:highlight w:val="none"/>
        </w:rPr>
        <w:t>扬州维扬发展投资有限公司网站”发布成交结果公告，公告期限为1个工作日。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对未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不作未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原因的解释。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）所有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文件都将作为档案保存，不论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与否，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均不退回。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、合同签订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/>
          <w:color w:val="000000"/>
          <w:szCs w:val="21"/>
          <w:highlight w:val="none"/>
        </w:rPr>
        <w:t>确定后，代理机构将向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/>
          <w:color w:val="000000"/>
          <w:szCs w:val="21"/>
          <w:highlight w:val="none"/>
        </w:rPr>
        <w:t>发出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/>
          <w:color w:val="000000"/>
          <w:szCs w:val="21"/>
          <w:highlight w:val="none"/>
        </w:rPr>
        <w:t>通知书。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应当自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通知书发出之日起三十日内，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签订协议，所签订的协议不得对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中标单位投标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文件作实质性修改。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招标文件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中所有内容，均应作为协议附件。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720"/>
        <w:jc w:val="center"/>
        <w:outlineLvl w:val="0"/>
        <w:rPr>
          <w:rFonts w:ascii="黑体" w:hAnsi="黑体" w:eastAsia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标准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2"/>
        <w:rPr>
          <w:rFonts w:hint="default" w:ascii="宋体" w:eastAsia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评标方法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、本项目采用综合评分法确定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人。总分值为</w:t>
      </w: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分，小数点后保留两位。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、使用综合评分法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项目，评审结果按评审后得分由高到低顺序排列。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二、评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标准</w:t>
      </w:r>
    </w:p>
    <w:tbl>
      <w:tblPr>
        <w:tblStyle w:val="13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8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pct"/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项目明细</w:t>
            </w:r>
          </w:p>
        </w:tc>
        <w:tc>
          <w:tcPr>
            <w:tcW w:w="4207" w:type="pct"/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2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满足招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文件要求且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报价最高的投标人的价格为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基准价，其价格分为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分。其他投标人的价格分统一按照下列公式计算：报价得分=(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其他投标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报价／评标基准价)×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30（四舍五入，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小数点后保留两位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7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企业品牌实力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2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所在集团在全球超过20个（含）国家有超市门店得10分，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所在集团在全球超过10个（含）国家有超市门店得5分，其余不得分。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投标品牌在中国有超过30家（含）1.5万平方米及以上超市门店得15分，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投标品牌在中国有超过20家（含）1.5万平方米及以上超市门店得10分，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投标品牌在中国有超过10家（含）1.5万平方米及以上超市门店得5分，其余不得分。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7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ind w:left="210" w:hanging="210" w:hangingChars="100"/>
              <w:jc w:val="left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企业经营能力（45分）</w:t>
            </w:r>
          </w:p>
        </w:tc>
        <w:tc>
          <w:tcPr>
            <w:tcW w:w="42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的投标品牌2023年中国各门店店均总营收达10亿元人民币及以上得20分，投标人的投标品牌2023年中国各门店店均总营收达6亿元人民币及以上得10分，投标人的投标品牌2023年中国各门店店均总营收达3亿元人民币及以上得5分，其余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投标人的投标品牌中国付费会员制数量达到300万及以上得10分，投标人的投标品牌中国付费会员制数量达到200万及以上得5分，投标人的投标品牌中国付费会员制数量达到100万及以上得1分，其余不得分。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的投标品牌全球有30年及以上仓储式超市管理经验的得10分，投标人的投标品牌全球有20年及以上仓储式超市管理经验的得5分，投标人的投标品牌全球有10年及以上仓储式超市管理经验的得1分，其余不得分。</w:t>
            </w:r>
          </w:p>
          <w:p>
            <w:pPr>
              <w:pStyle w:val="6"/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投标人的投标品牌具有前置仓等类似经营模式，有自营APP，能够提供线上线下配送服务。满足本条所有条件得5分，其余不得分。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jc w:val="left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720"/>
        <w:jc w:val="center"/>
        <w:outlineLvl w:val="0"/>
        <w:rPr>
          <w:rFonts w:hint="eastAsia" w:ascii="黑体" w:hAnsi="黑体" w:eastAsia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项目描述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经营范围：仓储式超市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依法经营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，自主决定经营品种、数量。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4" w:firstLineChars="200"/>
        <w:textAlignment w:val="auto"/>
        <w:rPr>
          <w:rFonts w:hint="default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 w:eastAsiaTheme="minorEastAsia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招标文件未尽事宜，双方签订合同时再完善，以正式合同为准。</w:t>
      </w: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03" w:firstLineChars="192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hint="eastAsia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章</w:t>
      </w:r>
      <w:r>
        <w:rPr>
          <w:rFonts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文件格式及附件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default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投标文件格式投标人自拟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default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附件二、法人委托授权书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附件三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、开标一览表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投标人参加投标</w:t>
      </w:r>
      <w:r>
        <w:rPr>
          <w:rFonts w:hint="eastAsia" w:asci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确认函</w:t>
      </w: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int="eastAsia" w:hAnsi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outlineLvl w:val="2"/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outlineLvl w:val="2"/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江苏苏维工程管理有限公司：</w:t>
      </w:r>
    </w:p>
    <w:p>
      <w:pPr>
        <w:pStyle w:val="17"/>
        <w:spacing w:before="0" w:after="0"/>
        <w:ind w:firstLine="420" w:firstLineChars="20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根据贵方的招标文件，正式授权下述签字人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_________________(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代表我方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______________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（投标人的名称），全权处理本次项目投标的有关事宜。</w:t>
      </w:r>
    </w:p>
    <w:p>
      <w:pPr>
        <w:pStyle w:val="17"/>
        <w:spacing w:before="0" w:after="0"/>
        <w:ind w:firstLine="420" w:firstLineChars="20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据此函，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签字人兹宣布同意如下：</w:t>
      </w:r>
    </w:p>
    <w:p>
      <w:pPr>
        <w:pStyle w:val="17"/>
        <w:spacing w:before="0" w:after="0"/>
        <w:ind w:firstLine="420" w:firstLineChars="20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按招标文件规定的各项要求，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参与投标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spacing w:before="0" w:after="0"/>
        <w:ind w:firstLine="420" w:firstLineChars="20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我们完全理解贵方不一定将合同授予最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报价的投标人。</w:t>
      </w:r>
    </w:p>
    <w:p>
      <w:pPr>
        <w:pStyle w:val="17"/>
        <w:spacing w:before="0" w:after="0"/>
        <w:ind w:firstLine="420" w:firstLineChars="200"/>
        <w:rPr>
          <w:rFonts w:hint="eastAsia" w:ascii="宋体" w:eastAsia="宋体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我们已详细审核全部招标文件及其有效补充文件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spacing w:before="0" w:after="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我们同意从规定的开标日期起遵循本投标文件，并在规定的投标有效期期满之前均具有约束力。</w:t>
      </w:r>
    </w:p>
    <w:p>
      <w:pPr>
        <w:pStyle w:val="17"/>
        <w:spacing w:before="0" w:after="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同意向贵方提供贵方可能另外要求的与投标有关的任何证据或资料，并保证我方已提供和将要提供的文件是真实的、准确的。</w:t>
      </w:r>
    </w:p>
    <w:p>
      <w:pPr>
        <w:pStyle w:val="17"/>
        <w:spacing w:before="0" w:after="0"/>
        <w:rPr>
          <w:rFonts w:hint="eastAsia" w:ascii="宋体" w:eastAsia="宋体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一旦我方中标</w:t>
      </w:r>
      <w:r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我方将与贵方就合同签署达成一致，以双方签订的合同为准，并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严格履行合同的责任和义务</w:t>
      </w:r>
      <w:r>
        <w:rPr>
          <w:rFonts w:hint="eastAsia" w:ascii="宋体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spacing w:before="0" w:after="0"/>
        <w:ind w:left="425" w:firstLine="105" w:firstLineChars="50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与本投标有关的正式通讯地址为：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址：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邮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编：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话：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传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真：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投标人开户行：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账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户：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行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号：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法定代表人或授权代表（签字）：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投标人名称（公章）：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期：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____</w:t>
      </w: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jc w:val="right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numPr>
          <w:ilvl w:val="0"/>
          <w:numId w:val="0"/>
        </w:numPr>
        <w:ind w:left="420" w:left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Ansi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Ansi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outlineLvl w:val="3"/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：法人委托授权书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center"/>
        <w:outlineLvl w:val="3"/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2" w:firstLineChars="200"/>
        <w:jc w:val="center"/>
        <w:outlineLvl w:val="3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法人委托授权书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江苏苏维工程管理有限公司：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ascii="宋体" w:cs="宋体"/>
          <w:color w:val="000000" w:themeColor="text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（投标人住址）的</w:t>
      </w:r>
      <w:r>
        <w:rPr>
          <w:rFonts w:ascii="宋体" w:cs="宋体"/>
          <w:color w:val="000000" w:themeColor="text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（投标人名称）法定代表人</w:t>
      </w:r>
      <w:r>
        <w:rPr>
          <w:rFonts w:ascii="宋体" w:cs="宋体"/>
          <w:color w:val="000000" w:themeColor="text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（法定代表人姓名、职务）代表本公司授权在下面签字的</w:t>
      </w:r>
      <w:r>
        <w:rPr>
          <w:rFonts w:ascii="宋体" w:cs="宋体"/>
          <w:color w:val="000000" w:themeColor="text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（投标人代表姓名、职务）为本公司的合法代理人，就贵方组织的项目名称</w:t>
      </w:r>
      <w:r>
        <w:rPr>
          <w:rFonts w:ascii="宋体" w:cs="宋体"/>
          <w:b/>
          <w:bCs/>
          <w:color w:val="000000" w:themeColor="text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参与投标，以本公司名义处理一切与之有关的事务。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asci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本授权书于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日生效，特此声明。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被授权人签字：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pStyle w:val="17"/>
        <w:spacing w:before="0" w:after="0"/>
        <w:ind w:firstLine="478" w:firstLineChars="228"/>
        <w:rPr>
          <w:rFonts w:asci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投标人名称（公章）：</w:t>
      </w:r>
      <w:r>
        <w:rPr>
          <w:rFonts w:ascii="宋体" w:hAnsi="宋体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left" w:pos="1440"/>
        </w:tabs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/>
        <w:rPr>
          <w:rFonts w:asci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日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期：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cs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asci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人（身份证复印件）：</w:t>
      </w: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left"/>
        <w:rPr>
          <w:rFonts w:eastAsia="仿宋_GB2312" w:cs="Calibri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附件三</w:t>
      </w: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、开标一览表</w:t>
      </w:r>
    </w:p>
    <w:p>
      <w:pPr>
        <w:spacing w:line="360" w:lineRule="auto"/>
        <w:ind w:firstLine="480"/>
        <w:rPr>
          <w:rFonts w:asci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投标人全称（加盖公章）：</w:t>
      </w:r>
    </w:p>
    <w:p>
      <w:pPr>
        <w:spacing w:line="360" w:lineRule="auto"/>
        <w:ind w:firstLine="480"/>
        <w:rPr>
          <w:rFonts w:asci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GZ513地块仓储式超市租赁经营项目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</w:t>
      </w:r>
    </w:p>
    <w:tbl>
      <w:tblPr>
        <w:tblStyle w:val="13"/>
        <w:tblW w:w="85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2401" w:type="dxa"/>
            <w:vAlign w:val="center"/>
          </w:tcPr>
          <w:p>
            <w:pPr>
              <w:pStyle w:val="4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投标名称</w:t>
            </w:r>
          </w:p>
        </w:tc>
        <w:tc>
          <w:tcPr>
            <w:tcW w:w="6198" w:type="dxa"/>
            <w:vAlign w:val="center"/>
          </w:tcPr>
          <w:p>
            <w:pPr>
              <w:adjustRightInd w:val="0"/>
              <w:snapToGrid w:val="0"/>
              <w:spacing w:after="200" w:line="220" w:lineRule="atLeast"/>
              <w:rPr>
                <w:rFonts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401" w:type="dxa"/>
            <w:vAlign w:val="center"/>
          </w:tcPr>
          <w:p>
            <w:pPr>
              <w:pStyle w:val="4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8" w:type="dxa"/>
            <w:vAlign w:val="center"/>
          </w:tcPr>
          <w:p>
            <w:pPr>
              <w:pStyle w:val="4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>
            <w:pPr>
              <w:pStyle w:val="17"/>
              <w:spacing w:before="0" w:after="0" w:line="500" w:lineRule="exact"/>
              <w:ind w:firstLine="0"/>
              <w:rPr>
                <w:rFonts w:ascii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</w:tr>
    </w:tbl>
    <w:p>
      <w:pPr>
        <w:rPr>
          <w:rFonts w:asci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ind w:firstLine="48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4884" w:firstLineChars="2326"/>
        <w:rPr>
          <w:rFonts w:asci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jc w:val="center"/>
        <w:rPr>
          <w:rFonts w:asci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hAnsi="宋体" w:eastAsia="宋体"/>
          <w:b/>
          <w:bCs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投标人参加投标</w:t>
      </w:r>
      <w:r>
        <w:rPr>
          <w:rFonts w:hint="eastAsia" w:hAnsi="宋体"/>
          <w:b/>
          <w:bCs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确认函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参加投标确认函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江苏苏维工程管理有限公司：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320" w:hanging="320" w:hangingChars="100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本单位将参加贵公司于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日开标的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GZ513地块仓储式超市租赁经营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项目的投标。本单位已在网站成功下载标书，特发函确认。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　　　　            　             （单位公章）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　　　　　　　　　　　    　年　　　月　　　日</w:t>
      </w:r>
    </w:p>
    <w:p>
      <w:pPr>
        <w:ind w:left="5280" w:hanging="5280" w:hangingChars="1650"/>
        <w:rPr>
          <w:rFonts w:asci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</w:t>
      </w:r>
    </w:p>
    <w:p>
      <w:pPr>
        <w:ind w:left="5963" w:hanging="5963" w:hangingChars="1650"/>
        <w:jc w:val="center"/>
        <w:rPr>
          <w:rFonts w:asci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联系表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137"/>
        <w:gridCol w:w="184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所投项目名称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7" w:type="dxa"/>
            <w:vAlign w:val="center"/>
          </w:tcPr>
          <w:p>
            <w:pPr>
              <w:adjustRightInd w:val="0"/>
              <w:snapToGrid w:val="0"/>
              <w:spacing w:beforeLines="50" w:afterLines="50" w:line="300" w:lineRule="auto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所投包</w:t>
            </w:r>
          </w:p>
        </w:tc>
        <w:tc>
          <w:tcPr>
            <w:tcW w:w="60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="420" w:leftChars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5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14</w: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5</w:t>
    </w:r>
    <w:r>
      <w:fldChar w:fldCharType="end"/>
    </w:r>
  </w:p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14</w:t>
    </w:r>
    <w:r>
      <w:fldChar w:fldCharType="end"/>
    </w:r>
  </w:p>
  <w:p>
    <w:pPr>
      <w:pStyle w:val="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22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3D04F"/>
    <w:multiLevelType w:val="singleLevel"/>
    <w:tmpl w:val="DBB3D0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55906D"/>
    <w:multiLevelType w:val="singleLevel"/>
    <w:tmpl w:val="F45590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DEC7DC"/>
    <w:multiLevelType w:val="singleLevel"/>
    <w:tmpl w:val="41DEC7DC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3">
    <w:nsid w:val="518C26C9"/>
    <w:multiLevelType w:val="singleLevel"/>
    <w:tmpl w:val="518C26C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54387906"/>
    <w:multiLevelType w:val="singleLevel"/>
    <w:tmpl w:val="5438790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DJjZGI1NTcwYzM4NTFkMjJmY2E2MzgzNjNlMGMifQ=="/>
  </w:docVars>
  <w:rsids>
    <w:rsidRoot w:val="00000000"/>
    <w:rsid w:val="001B0C0B"/>
    <w:rsid w:val="0085057E"/>
    <w:rsid w:val="00E674B6"/>
    <w:rsid w:val="013665A4"/>
    <w:rsid w:val="016D067A"/>
    <w:rsid w:val="024879C0"/>
    <w:rsid w:val="02E5106A"/>
    <w:rsid w:val="02F856A3"/>
    <w:rsid w:val="03F44AFE"/>
    <w:rsid w:val="040161D4"/>
    <w:rsid w:val="04537D35"/>
    <w:rsid w:val="046637C4"/>
    <w:rsid w:val="048C218B"/>
    <w:rsid w:val="05792A70"/>
    <w:rsid w:val="05A55683"/>
    <w:rsid w:val="06200365"/>
    <w:rsid w:val="06A20EF9"/>
    <w:rsid w:val="071C13DE"/>
    <w:rsid w:val="07362F4D"/>
    <w:rsid w:val="077F4525"/>
    <w:rsid w:val="07A0062C"/>
    <w:rsid w:val="08517E89"/>
    <w:rsid w:val="087F3CC8"/>
    <w:rsid w:val="08E775F7"/>
    <w:rsid w:val="09726220"/>
    <w:rsid w:val="0A173C58"/>
    <w:rsid w:val="0A546947"/>
    <w:rsid w:val="0A601F4C"/>
    <w:rsid w:val="0B4C64E2"/>
    <w:rsid w:val="0B952DD0"/>
    <w:rsid w:val="0B9A49D2"/>
    <w:rsid w:val="0BAB7996"/>
    <w:rsid w:val="0BAF6E8C"/>
    <w:rsid w:val="0C46324D"/>
    <w:rsid w:val="0C862578"/>
    <w:rsid w:val="0E842FB2"/>
    <w:rsid w:val="0E945D3D"/>
    <w:rsid w:val="0EDD4FDE"/>
    <w:rsid w:val="0F0A635B"/>
    <w:rsid w:val="0F291C67"/>
    <w:rsid w:val="0F397AF3"/>
    <w:rsid w:val="0FE20463"/>
    <w:rsid w:val="106C55BF"/>
    <w:rsid w:val="130F6F6F"/>
    <w:rsid w:val="131B1E8D"/>
    <w:rsid w:val="13C63B46"/>
    <w:rsid w:val="14DE01EF"/>
    <w:rsid w:val="14F31991"/>
    <w:rsid w:val="15273705"/>
    <w:rsid w:val="15307AD7"/>
    <w:rsid w:val="15697BA7"/>
    <w:rsid w:val="158E1AA4"/>
    <w:rsid w:val="15CB70E9"/>
    <w:rsid w:val="15FB330C"/>
    <w:rsid w:val="16015BA2"/>
    <w:rsid w:val="16584EAF"/>
    <w:rsid w:val="168E5DAD"/>
    <w:rsid w:val="18193A6A"/>
    <w:rsid w:val="18944551"/>
    <w:rsid w:val="18CD734B"/>
    <w:rsid w:val="18D16FD9"/>
    <w:rsid w:val="18F328D7"/>
    <w:rsid w:val="197024D1"/>
    <w:rsid w:val="1A570568"/>
    <w:rsid w:val="1A6C13A5"/>
    <w:rsid w:val="1AC62D5D"/>
    <w:rsid w:val="1ACB6B54"/>
    <w:rsid w:val="1B1E5B19"/>
    <w:rsid w:val="1B74618D"/>
    <w:rsid w:val="1B786513"/>
    <w:rsid w:val="1B9A2F6C"/>
    <w:rsid w:val="1CC0495D"/>
    <w:rsid w:val="1CDE1787"/>
    <w:rsid w:val="1D900CA0"/>
    <w:rsid w:val="1D921969"/>
    <w:rsid w:val="1E3F3B21"/>
    <w:rsid w:val="1E4E3695"/>
    <w:rsid w:val="1E6670BF"/>
    <w:rsid w:val="1F416569"/>
    <w:rsid w:val="1F466758"/>
    <w:rsid w:val="207427E4"/>
    <w:rsid w:val="20776FEB"/>
    <w:rsid w:val="20827332"/>
    <w:rsid w:val="20A179F2"/>
    <w:rsid w:val="216361B0"/>
    <w:rsid w:val="21E6507E"/>
    <w:rsid w:val="22261312"/>
    <w:rsid w:val="232C638A"/>
    <w:rsid w:val="23A56D9F"/>
    <w:rsid w:val="24997A50"/>
    <w:rsid w:val="251C7338"/>
    <w:rsid w:val="262E3D54"/>
    <w:rsid w:val="26CC2B8C"/>
    <w:rsid w:val="271E72B8"/>
    <w:rsid w:val="2779763F"/>
    <w:rsid w:val="27DC37D0"/>
    <w:rsid w:val="281B2C2E"/>
    <w:rsid w:val="282E449A"/>
    <w:rsid w:val="28967072"/>
    <w:rsid w:val="290160AA"/>
    <w:rsid w:val="2A152597"/>
    <w:rsid w:val="2A307883"/>
    <w:rsid w:val="2AA8271F"/>
    <w:rsid w:val="2BCA0C06"/>
    <w:rsid w:val="2C91730F"/>
    <w:rsid w:val="2CB76943"/>
    <w:rsid w:val="2D02355D"/>
    <w:rsid w:val="2D9E69FE"/>
    <w:rsid w:val="2DC83342"/>
    <w:rsid w:val="2DDC408C"/>
    <w:rsid w:val="2E1D5AAB"/>
    <w:rsid w:val="2E465B54"/>
    <w:rsid w:val="2E632337"/>
    <w:rsid w:val="2FC3740C"/>
    <w:rsid w:val="300C64C5"/>
    <w:rsid w:val="302247E9"/>
    <w:rsid w:val="30D54CEC"/>
    <w:rsid w:val="30FC612F"/>
    <w:rsid w:val="3140477C"/>
    <w:rsid w:val="325E4535"/>
    <w:rsid w:val="34331807"/>
    <w:rsid w:val="35A318E8"/>
    <w:rsid w:val="35B0783B"/>
    <w:rsid w:val="35EF61E0"/>
    <w:rsid w:val="36176F44"/>
    <w:rsid w:val="367C5DE2"/>
    <w:rsid w:val="3699672A"/>
    <w:rsid w:val="36DC51FE"/>
    <w:rsid w:val="386D5023"/>
    <w:rsid w:val="39D025A8"/>
    <w:rsid w:val="39DC3CA1"/>
    <w:rsid w:val="39EE7A9E"/>
    <w:rsid w:val="3A3F2FEB"/>
    <w:rsid w:val="3A441482"/>
    <w:rsid w:val="3AAC1CAF"/>
    <w:rsid w:val="3B273268"/>
    <w:rsid w:val="3B352376"/>
    <w:rsid w:val="3B8876D8"/>
    <w:rsid w:val="3BB55A66"/>
    <w:rsid w:val="3DF37CDB"/>
    <w:rsid w:val="3E177735"/>
    <w:rsid w:val="3E3C1FD5"/>
    <w:rsid w:val="3E407312"/>
    <w:rsid w:val="3E881D5D"/>
    <w:rsid w:val="3EFB22E1"/>
    <w:rsid w:val="3F863A6D"/>
    <w:rsid w:val="3FB13F2F"/>
    <w:rsid w:val="412D10B0"/>
    <w:rsid w:val="418A1F04"/>
    <w:rsid w:val="41B820EF"/>
    <w:rsid w:val="42D77C69"/>
    <w:rsid w:val="432F6EB9"/>
    <w:rsid w:val="434722A4"/>
    <w:rsid w:val="43C7308A"/>
    <w:rsid w:val="44054157"/>
    <w:rsid w:val="445C44CE"/>
    <w:rsid w:val="45B52E67"/>
    <w:rsid w:val="46110D70"/>
    <w:rsid w:val="46B478E8"/>
    <w:rsid w:val="46E32EFA"/>
    <w:rsid w:val="470102DD"/>
    <w:rsid w:val="473B5479"/>
    <w:rsid w:val="47424C29"/>
    <w:rsid w:val="47E75D5D"/>
    <w:rsid w:val="48702230"/>
    <w:rsid w:val="48AE339B"/>
    <w:rsid w:val="497943CD"/>
    <w:rsid w:val="49D43AA6"/>
    <w:rsid w:val="4A6550A5"/>
    <w:rsid w:val="4AF2012D"/>
    <w:rsid w:val="4B096DFF"/>
    <w:rsid w:val="4B493892"/>
    <w:rsid w:val="4B6974C8"/>
    <w:rsid w:val="4C4B4957"/>
    <w:rsid w:val="4C8C5620"/>
    <w:rsid w:val="4CD761BE"/>
    <w:rsid w:val="4CEE4C7C"/>
    <w:rsid w:val="4D036199"/>
    <w:rsid w:val="4DE716D8"/>
    <w:rsid w:val="4E9937A3"/>
    <w:rsid w:val="504E72C1"/>
    <w:rsid w:val="506265D5"/>
    <w:rsid w:val="50C50AC5"/>
    <w:rsid w:val="513B6977"/>
    <w:rsid w:val="51BE2B4B"/>
    <w:rsid w:val="5225560F"/>
    <w:rsid w:val="52566C97"/>
    <w:rsid w:val="526927BC"/>
    <w:rsid w:val="527A4859"/>
    <w:rsid w:val="529256E5"/>
    <w:rsid w:val="52E24538"/>
    <w:rsid w:val="53435128"/>
    <w:rsid w:val="534F20B7"/>
    <w:rsid w:val="549800EB"/>
    <w:rsid w:val="54DC18AF"/>
    <w:rsid w:val="55013429"/>
    <w:rsid w:val="55910FB2"/>
    <w:rsid w:val="559D5B4B"/>
    <w:rsid w:val="575B2958"/>
    <w:rsid w:val="57B42A1C"/>
    <w:rsid w:val="59385B16"/>
    <w:rsid w:val="59D43963"/>
    <w:rsid w:val="59D46F2C"/>
    <w:rsid w:val="5A6F3DD6"/>
    <w:rsid w:val="5B7F4B67"/>
    <w:rsid w:val="5BA61EB8"/>
    <w:rsid w:val="5BE07737"/>
    <w:rsid w:val="5C3B1915"/>
    <w:rsid w:val="5DA20F16"/>
    <w:rsid w:val="5E051197"/>
    <w:rsid w:val="5E263C59"/>
    <w:rsid w:val="5F1A0B52"/>
    <w:rsid w:val="5FC61CE6"/>
    <w:rsid w:val="60754910"/>
    <w:rsid w:val="60FB6258"/>
    <w:rsid w:val="611F13D3"/>
    <w:rsid w:val="61761210"/>
    <w:rsid w:val="61C7033E"/>
    <w:rsid w:val="62777647"/>
    <w:rsid w:val="62816E52"/>
    <w:rsid w:val="63685D00"/>
    <w:rsid w:val="63EC4CF9"/>
    <w:rsid w:val="63FD2DC4"/>
    <w:rsid w:val="64AF28BF"/>
    <w:rsid w:val="652861FA"/>
    <w:rsid w:val="6584192D"/>
    <w:rsid w:val="65ED098A"/>
    <w:rsid w:val="666F428A"/>
    <w:rsid w:val="67A164D7"/>
    <w:rsid w:val="67A504FC"/>
    <w:rsid w:val="68386C4E"/>
    <w:rsid w:val="689776BA"/>
    <w:rsid w:val="6A0B15A9"/>
    <w:rsid w:val="6A436F7B"/>
    <w:rsid w:val="6A556998"/>
    <w:rsid w:val="6A997A63"/>
    <w:rsid w:val="6AB51EAB"/>
    <w:rsid w:val="6AB604FF"/>
    <w:rsid w:val="6AD32E5D"/>
    <w:rsid w:val="6B2C1A8D"/>
    <w:rsid w:val="6B45441F"/>
    <w:rsid w:val="6BB37814"/>
    <w:rsid w:val="6BBB3AE4"/>
    <w:rsid w:val="6C76083C"/>
    <w:rsid w:val="6CF46B9E"/>
    <w:rsid w:val="6D6C31B6"/>
    <w:rsid w:val="6E117132"/>
    <w:rsid w:val="6E771D55"/>
    <w:rsid w:val="6FAE5671"/>
    <w:rsid w:val="6FC32087"/>
    <w:rsid w:val="701A6900"/>
    <w:rsid w:val="70B1680D"/>
    <w:rsid w:val="72BD21B0"/>
    <w:rsid w:val="7322256B"/>
    <w:rsid w:val="73853FDD"/>
    <w:rsid w:val="73B40E35"/>
    <w:rsid w:val="740F6ECF"/>
    <w:rsid w:val="74604C2A"/>
    <w:rsid w:val="74F00593"/>
    <w:rsid w:val="750000AA"/>
    <w:rsid w:val="75007EFF"/>
    <w:rsid w:val="75B33B86"/>
    <w:rsid w:val="761E5346"/>
    <w:rsid w:val="763B6DD0"/>
    <w:rsid w:val="76735187"/>
    <w:rsid w:val="782D6B97"/>
    <w:rsid w:val="79313FEE"/>
    <w:rsid w:val="79AF1F79"/>
    <w:rsid w:val="7ABA459E"/>
    <w:rsid w:val="7ADB68FD"/>
    <w:rsid w:val="7B076EF7"/>
    <w:rsid w:val="7B690757"/>
    <w:rsid w:val="7C2A406C"/>
    <w:rsid w:val="7C994C02"/>
    <w:rsid w:val="7CD61EB8"/>
    <w:rsid w:val="7D1265E7"/>
    <w:rsid w:val="7D242A23"/>
    <w:rsid w:val="7D893B11"/>
    <w:rsid w:val="7F271F1D"/>
    <w:rsid w:val="7F72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qFormat/>
    <w:uiPriority w:val="0"/>
    <w:pPr>
      <w:spacing w:line="240" w:lineRule="auto"/>
      <w:ind w:left="1260"/>
    </w:pPr>
    <w:rPr>
      <w:rFonts w:ascii="Times New Roman" w:hAnsi="Times New Roman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5">
    <w:name w:val="Body Text Indent"/>
    <w:basedOn w:val="1"/>
    <w:next w:val="1"/>
    <w:autoRedefine/>
    <w:unhideWhenUsed/>
    <w:qFormat/>
    <w:uiPriority w:val="0"/>
    <w:pPr>
      <w:spacing w:line="520" w:lineRule="exact"/>
      <w:ind w:left="570"/>
    </w:pPr>
    <w:rPr>
      <w:rFonts w:hint="eastAsia" w:ascii="宋体" w:hAnsi="Courier New"/>
      <w:spacing w:val="-4"/>
      <w:sz w:val="18"/>
      <w:szCs w:val="20"/>
    </w:rPr>
  </w:style>
  <w:style w:type="paragraph" w:styleId="6">
    <w:name w:val="List Bullet 2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Plain Text"/>
    <w:basedOn w:val="1"/>
    <w:autoRedefine/>
    <w:qFormat/>
    <w:uiPriority w:val="99"/>
    <w:rPr>
      <w:rFonts w:ascii="宋体" w:hAnsi="Courier New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rPr>
      <w:rFonts w:ascii="Calibri" w:hAnsi="Calibri" w:eastAsia="宋体" w:cs="Times New Roman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12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7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18">
    <w:name w:val="Default"/>
    <w:autoRedefine/>
    <w:qFormat/>
    <w:uiPriority w:val="99"/>
    <w:pPr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正文（缩进）"/>
    <w:basedOn w:val="1"/>
    <w:autoRedefine/>
    <w:qFormat/>
    <w:uiPriority w:val="0"/>
    <w:pPr>
      <w:autoSpaceDE w:val="0"/>
      <w:autoSpaceDN w:val="0"/>
      <w:spacing w:line="360" w:lineRule="auto"/>
      <w:ind w:firstLine="200" w:firstLineChars="200"/>
    </w:pPr>
    <w:rPr>
      <w:rFonts w:ascii="宋体" w:hAnsi="宋体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2021-12-07T04:14:00Z</dcterms:created>
  <dc:creator>admin</dc:creator>
  <cp:lastModifiedBy>Lenovo2023</cp:lastModifiedBy>
  <cp:lastPrinted>2024-01-14T06:43:00Z</cp:lastPrinted>
  <dcterms:modified xsi:type="dcterms:W3CDTF">2024-01-17T04:47:21Z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15929201176C4B3FA30E5B009D5062EB</vt:lpwstr>
  </property>
</Properties>
</file>