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288" w:type="dxa"/>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Layout w:type="fixed"/>
        <w:tblCellMar>
          <w:top w:w="0" w:type="dxa"/>
          <w:left w:w="108" w:type="dxa"/>
          <w:bottom w:w="0" w:type="dxa"/>
          <w:right w:w="108" w:type="dxa"/>
        </w:tblCellMar>
      </w:tblPr>
      <w:tblGrid>
        <w:gridCol w:w="10037"/>
      </w:tblGrid>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3108" w:hRule="atLeast"/>
        </w:trPr>
        <w:tc>
          <w:tcPr>
            <w:tcW w:w="10037" w:type="dxa"/>
            <w:noWrap w:val="0"/>
            <w:vAlign w:val="top"/>
          </w:tcPr>
          <w:p>
            <w:pPr>
              <w:keepNext w:val="0"/>
              <w:keepLines w:val="0"/>
              <w:pageBreakBefore w:val="0"/>
              <w:widowControl/>
              <w:kinsoku/>
              <w:wordWrap/>
              <w:overflowPunct/>
              <w:topLinePunct w:val="0"/>
              <w:autoSpaceDE/>
              <w:autoSpaceDN/>
              <w:bidi w:val="0"/>
              <w:adjustRightInd/>
              <w:snapToGrid/>
              <w:spacing w:line="560" w:lineRule="exact"/>
              <w:ind w:right="342" w:rightChars="163" w:firstLine="422" w:firstLineChars="150"/>
              <w:textAlignment w:val="auto"/>
              <w:rPr>
                <w:rFonts w:hint="eastAsia" w:ascii="宋体" w:hAnsi="宋体" w:cs="宋体"/>
                <w:b/>
                <w:bCs/>
                <w:color w:val="000000"/>
                <w:sz w:val="28"/>
                <w:szCs w:val="28"/>
              </w:rPr>
            </w:pPr>
            <w:r>
              <w:rPr>
                <w:rFonts w:hint="eastAsia" w:ascii="宋体" w:hAnsi="宋体" w:cs="宋体"/>
                <w:b/>
                <w:bCs/>
                <w:color w:val="000000"/>
                <w:sz w:val="28"/>
                <w:szCs w:val="28"/>
              </w:rPr>
              <w:t>一、工程概况：</w:t>
            </w:r>
          </w:p>
          <w:p>
            <w:pPr>
              <w:numPr>
                <w:ilvl w:val="0"/>
                <w:numId w:val="1"/>
              </w:numPr>
              <w:spacing w:line="360" w:lineRule="auto"/>
              <w:ind w:left="0" w:leftChars="0" w:firstLine="400" w:firstLineChars="0"/>
              <w:rPr>
                <w:rFonts w:hint="eastAsia" w:ascii="宋体" w:hAnsi="宋体" w:eastAsia="宋体" w:cs="Times New Roman"/>
                <w:color w:val="auto"/>
                <w:sz w:val="24"/>
                <w:lang w:val="en-US" w:eastAsia="zh-CN"/>
              </w:rPr>
            </w:pPr>
            <w:r>
              <w:rPr>
                <w:rFonts w:hint="eastAsia"/>
                <w:kern w:val="0"/>
                <w:sz w:val="24"/>
                <w:szCs w:val="24"/>
              </w:rPr>
              <w:t>工程名称：</w:t>
            </w:r>
            <w:r>
              <w:rPr>
                <w:rFonts w:hint="eastAsia" w:ascii="宋体" w:hAnsi="宋体" w:eastAsia="宋体" w:cs="宋体"/>
                <w:bCs/>
                <w:spacing w:val="6"/>
                <w:kern w:val="2"/>
                <w:sz w:val="24"/>
                <w:szCs w:val="24"/>
                <w:lang w:val="en-US" w:eastAsia="zh-CN" w:bidi="ar-SA"/>
              </w:rPr>
              <w:t>万达G地块景观提升工程。</w:t>
            </w:r>
          </w:p>
          <w:p>
            <w:pPr>
              <w:numPr>
                <w:ilvl w:val="0"/>
                <w:numId w:val="1"/>
              </w:numPr>
              <w:spacing w:line="360" w:lineRule="auto"/>
              <w:ind w:left="0" w:leftChars="0" w:firstLine="400" w:firstLineChars="0"/>
              <w:rPr>
                <w:rFonts w:hint="eastAsia" w:ascii="宋体" w:hAnsi="宋体"/>
                <w:color w:val="auto"/>
                <w:sz w:val="24"/>
              </w:rPr>
            </w:pPr>
            <w:r>
              <w:rPr>
                <w:rFonts w:hint="eastAsia" w:ascii="宋体" w:hAnsi="宋体" w:eastAsia="宋体" w:cs="Times New Roman"/>
                <w:sz w:val="24"/>
                <w:szCs w:val="24"/>
              </w:rPr>
              <w:t>项目主要工程内容为</w:t>
            </w:r>
            <w:r>
              <w:rPr>
                <w:rFonts w:hint="eastAsia" w:ascii="宋体" w:hAnsi="宋体" w:eastAsia="宋体" w:cs="Times New Roman"/>
                <w:sz w:val="24"/>
                <w:szCs w:val="24"/>
                <w:lang w:val="en-US" w:eastAsia="zh-CN"/>
              </w:rPr>
              <w:t>苗木栽植、草皮铺种、景墙砌筑、花池砌筑、透水园路铺设等</w:t>
            </w:r>
            <w:r>
              <w:rPr>
                <w:rFonts w:hint="eastAsia" w:ascii="宋体" w:hAnsi="宋体" w:eastAsia="宋体" w:cs="Times New Roman"/>
                <w:color w:val="auto"/>
                <w:sz w:val="24"/>
                <w:szCs w:val="24"/>
                <w:lang w:val="en-US" w:eastAsia="zh-CN"/>
              </w:rPr>
              <w:t>。</w:t>
            </w:r>
          </w:p>
          <w:p>
            <w:pPr>
              <w:numPr>
                <w:ilvl w:val="0"/>
                <w:numId w:val="1"/>
              </w:numPr>
              <w:spacing w:line="360" w:lineRule="auto"/>
              <w:ind w:left="0" w:leftChars="0" w:firstLine="400" w:firstLineChars="0"/>
              <w:rPr>
                <w:rFonts w:hint="eastAsia" w:ascii="宋体" w:hAnsi="宋体"/>
                <w:color w:val="auto"/>
                <w:sz w:val="24"/>
              </w:rPr>
            </w:pPr>
            <w:r>
              <w:rPr>
                <w:rFonts w:hint="eastAsia" w:ascii="宋体" w:hAnsi="宋体"/>
                <w:color w:val="auto"/>
                <w:sz w:val="24"/>
              </w:rPr>
              <w:t>工程特征：</w:t>
            </w:r>
            <w:r>
              <w:rPr>
                <w:rFonts w:hint="eastAsia" w:ascii="宋体" w:hAnsi="宋体"/>
                <w:color w:val="auto"/>
                <w:sz w:val="24"/>
                <w:lang w:val="en-US" w:eastAsia="zh-CN"/>
              </w:rPr>
              <w:t>景观、</w:t>
            </w:r>
            <w:r>
              <w:rPr>
                <w:rFonts w:hint="eastAsia" w:ascii="宋体" w:hAnsi="宋体" w:eastAsia="宋体" w:cs="Times New Roman"/>
                <w:color w:val="auto"/>
                <w:sz w:val="24"/>
                <w:lang w:val="en-US" w:eastAsia="zh-CN"/>
              </w:rPr>
              <w:t>绿化、亮化工程</w:t>
            </w:r>
            <w:r>
              <w:rPr>
                <w:rFonts w:hint="eastAsia" w:ascii="宋体" w:hAnsi="宋体"/>
                <w:b w:val="0"/>
                <w:bCs w:val="0"/>
                <w:color w:val="auto"/>
                <w:sz w:val="24"/>
                <w:lang w:eastAsia="zh-CN"/>
              </w:rPr>
              <w:t>。</w:t>
            </w:r>
          </w:p>
          <w:p>
            <w:pPr>
              <w:numPr>
                <w:ilvl w:val="0"/>
                <w:numId w:val="1"/>
              </w:numPr>
              <w:spacing w:line="360" w:lineRule="auto"/>
              <w:ind w:left="0" w:leftChars="0" w:firstLine="400" w:firstLineChars="0"/>
              <w:rPr>
                <w:rFonts w:hint="eastAsia" w:ascii="宋体" w:hAnsi="宋体"/>
                <w:color w:val="auto"/>
                <w:sz w:val="24"/>
              </w:rPr>
            </w:pPr>
            <w:r>
              <w:rPr>
                <w:rFonts w:hint="eastAsia" w:ascii="宋体" w:hAnsi="宋体"/>
                <w:color w:val="auto"/>
                <w:sz w:val="24"/>
              </w:rPr>
              <w:t>计划工期：根据招标文件规定</w:t>
            </w:r>
            <w:r>
              <w:rPr>
                <w:rFonts w:hint="eastAsia" w:ascii="宋体" w:hAnsi="宋体"/>
                <w:color w:val="auto"/>
                <w:sz w:val="24"/>
                <w:lang w:eastAsia="zh-CN"/>
              </w:rPr>
              <w:t>。</w:t>
            </w:r>
          </w:p>
          <w:p>
            <w:pPr>
              <w:numPr>
                <w:ilvl w:val="0"/>
                <w:numId w:val="1"/>
              </w:numPr>
              <w:spacing w:line="360" w:lineRule="auto"/>
              <w:ind w:left="0" w:leftChars="0" w:firstLine="400" w:firstLineChars="0"/>
              <w:rPr>
                <w:rFonts w:hint="eastAsia" w:ascii="宋体" w:hAnsi="宋体"/>
                <w:color w:val="auto"/>
                <w:sz w:val="24"/>
              </w:rPr>
            </w:pPr>
            <w:r>
              <w:rPr>
                <w:rFonts w:hint="eastAsia" w:ascii="宋体" w:hAnsi="宋体"/>
                <w:color w:val="auto"/>
                <w:sz w:val="24"/>
              </w:rPr>
              <w:t>施工现场实际情况：施工场地平整</w:t>
            </w:r>
            <w:r>
              <w:rPr>
                <w:rFonts w:hint="eastAsia" w:ascii="宋体" w:hAnsi="宋体"/>
                <w:color w:val="auto"/>
                <w:sz w:val="24"/>
                <w:lang w:eastAsia="zh-CN"/>
              </w:rPr>
              <w:t>。</w:t>
            </w:r>
          </w:p>
          <w:p>
            <w:pPr>
              <w:numPr>
                <w:ilvl w:val="0"/>
                <w:numId w:val="1"/>
              </w:numPr>
              <w:spacing w:line="360" w:lineRule="auto"/>
              <w:ind w:left="0" w:leftChars="0" w:firstLine="400" w:firstLineChars="0"/>
              <w:rPr>
                <w:rFonts w:hint="eastAsia" w:ascii="宋体" w:hAnsi="宋体"/>
                <w:color w:val="auto"/>
                <w:sz w:val="24"/>
              </w:rPr>
            </w:pPr>
            <w:r>
              <w:rPr>
                <w:rFonts w:hint="eastAsia" w:ascii="宋体" w:hAnsi="宋体"/>
                <w:color w:val="auto"/>
                <w:sz w:val="24"/>
              </w:rPr>
              <w:t>交通条件：交通便利，有</w:t>
            </w:r>
            <w:bookmarkStart w:id="0" w:name="_GoBack"/>
            <w:bookmarkEnd w:id="0"/>
            <w:r>
              <w:rPr>
                <w:rFonts w:hint="eastAsia" w:ascii="宋体" w:hAnsi="宋体"/>
                <w:color w:val="auto"/>
                <w:sz w:val="24"/>
              </w:rPr>
              <w:t>主干道通入施工现场</w:t>
            </w:r>
            <w:r>
              <w:rPr>
                <w:rFonts w:hint="eastAsia" w:ascii="宋体" w:hAnsi="宋体"/>
                <w:color w:val="auto"/>
                <w:sz w:val="24"/>
                <w:lang w:eastAsia="zh-CN"/>
              </w:rPr>
              <w:t>。</w:t>
            </w:r>
          </w:p>
          <w:p>
            <w:pPr>
              <w:numPr>
                <w:ilvl w:val="0"/>
                <w:numId w:val="1"/>
              </w:numPr>
              <w:spacing w:line="360" w:lineRule="auto"/>
              <w:ind w:left="0" w:leftChars="0" w:firstLine="400" w:firstLineChars="0"/>
              <w:rPr>
                <w:rFonts w:hint="eastAsia" w:ascii="宋体" w:hAnsi="宋体"/>
                <w:color w:val="auto"/>
                <w:sz w:val="24"/>
              </w:rPr>
            </w:pPr>
            <w:r>
              <w:rPr>
                <w:rFonts w:hint="eastAsia" w:ascii="宋体" w:hAnsi="宋体"/>
                <w:color w:val="auto"/>
                <w:sz w:val="24"/>
              </w:rPr>
              <w:t>环境保护要求：必须符合当地环保部门对噪音、粉尘、污水、垃圾的限制或处理的要求。</w:t>
            </w:r>
          </w:p>
          <w:p>
            <w:pPr>
              <w:spacing w:line="360" w:lineRule="auto"/>
              <w:ind w:firstLine="482" w:firstLineChars="200"/>
              <w:rPr>
                <w:rFonts w:hint="eastAsia" w:ascii="宋体" w:hAnsi="宋体"/>
                <w:b/>
                <w:color w:val="auto"/>
                <w:sz w:val="24"/>
              </w:rPr>
            </w:pPr>
            <w:r>
              <w:rPr>
                <w:rFonts w:hint="eastAsia" w:ascii="宋体" w:hAnsi="宋体"/>
                <w:b/>
                <w:color w:val="auto"/>
                <w:sz w:val="24"/>
              </w:rPr>
              <w:t>二、招标范围</w:t>
            </w:r>
          </w:p>
          <w:p>
            <w:pPr>
              <w:numPr>
                <w:ilvl w:val="0"/>
                <w:numId w:val="0"/>
              </w:numPr>
              <w:spacing w:line="360" w:lineRule="auto"/>
              <w:ind w:left="400" w:leftChars="0"/>
              <w:rPr>
                <w:rFonts w:hint="eastAsia" w:ascii="宋体" w:hAnsi="宋体" w:eastAsia="宋体" w:cs="Times New Roman"/>
                <w:color w:val="auto"/>
                <w:sz w:val="24"/>
              </w:rPr>
            </w:pPr>
            <w:r>
              <w:rPr>
                <w:rFonts w:hint="eastAsia" w:ascii="宋体" w:hAnsi="宋体" w:eastAsia="宋体" w:cs="Times New Roman"/>
                <w:color w:val="auto"/>
                <w:sz w:val="24"/>
              </w:rPr>
              <w:t>扬州市城市规划设计研究院有限责任公司设计的</w:t>
            </w:r>
            <w:r>
              <w:rPr>
                <w:rFonts w:hint="eastAsia" w:ascii="宋体" w:hAnsi="宋体" w:eastAsia="宋体" w:cs="Times New Roman"/>
                <w:color w:val="auto"/>
                <w:sz w:val="24"/>
                <w:lang w:eastAsia="zh-CN"/>
              </w:rPr>
              <w:t>万达G地块景观提升工程</w:t>
            </w:r>
            <w:r>
              <w:rPr>
                <w:rFonts w:hint="eastAsia" w:ascii="宋体" w:hAnsi="宋体" w:eastAsia="宋体" w:cs="Times New Roman"/>
                <w:color w:val="auto"/>
                <w:sz w:val="24"/>
              </w:rPr>
              <w:t>施工图纸</w:t>
            </w:r>
            <w:r>
              <w:rPr>
                <w:rFonts w:hint="eastAsia" w:ascii="宋体" w:hAnsi="宋体" w:eastAsia="宋体" w:cs="Times New Roman"/>
                <w:color w:val="auto"/>
                <w:sz w:val="24"/>
                <w:lang w:eastAsia="zh-CN"/>
              </w:rPr>
              <w:t>。</w:t>
            </w:r>
          </w:p>
          <w:p>
            <w:pPr>
              <w:spacing w:line="360" w:lineRule="auto"/>
              <w:ind w:firstLine="482" w:firstLineChars="200"/>
              <w:rPr>
                <w:rFonts w:hint="eastAsia" w:ascii="宋体" w:hAnsi="宋体" w:eastAsia="宋体" w:cs="Times New Roman"/>
                <w:b/>
                <w:color w:val="auto"/>
                <w:sz w:val="24"/>
              </w:rPr>
            </w:pPr>
            <w:r>
              <w:rPr>
                <w:rFonts w:hint="eastAsia" w:ascii="宋体" w:hAnsi="宋体" w:eastAsia="宋体" w:cs="Times New Roman"/>
                <w:b/>
                <w:color w:val="auto"/>
                <w:sz w:val="24"/>
                <w:lang w:val="en-US" w:eastAsia="zh-CN"/>
              </w:rPr>
              <w:t>三</w:t>
            </w:r>
            <w:r>
              <w:rPr>
                <w:rFonts w:hint="eastAsia" w:ascii="宋体" w:hAnsi="宋体" w:eastAsia="宋体" w:cs="Times New Roman"/>
                <w:b/>
                <w:color w:val="auto"/>
                <w:sz w:val="24"/>
              </w:rPr>
              <w:t>、工程量清单编制依据：</w:t>
            </w:r>
          </w:p>
          <w:p>
            <w:pPr>
              <w:numPr>
                <w:ilvl w:val="0"/>
                <w:numId w:val="2"/>
              </w:numPr>
              <w:spacing w:line="360" w:lineRule="auto"/>
              <w:ind w:left="0" w:leftChars="0" w:firstLine="400" w:firstLineChars="0"/>
              <w:rPr>
                <w:rFonts w:hint="eastAsia" w:ascii="宋体" w:hAnsi="宋体"/>
                <w:color w:val="auto"/>
                <w:sz w:val="24"/>
              </w:rPr>
            </w:pPr>
            <w:r>
              <w:rPr>
                <w:rFonts w:hint="eastAsia" w:ascii="宋体" w:hAnsi="宋体" w:eastAsia="宋体" w:cs="Times New Roman"/>
                <w:color w:val="auto"/>
                <w:sz w:val="24"/>
                <w:lang w:val="en-US" w:eastAsia="zh-CN"/>
              </w:rPr>
              <w:t>本工程施工图纸及相关资料；</w:t>
            </w:r>
          </w:p>
          <w:p>
            <w:pPr>
              <w:numPr>
                <w:ilvl w:val="0"/>
                <w:numId w:val="2"/>
              </w:numPr>
              <w:spacing w:line="360" w:lineRule="auto"/>
              <w:ind w:left="0" w:leftChars="0" w:firstLine="400" w:firstLineChars="0"/>
              <w:rPr>
                <w:rFonts w:hint="eastAsia" w:ascii="宋体" w:hAnsi="宋体"/>
                <w:color w:val="auto"/>
                <w:sz w:val="24"/>
                <w:szCs w:val="24"/>
              </w:rPr>
            </w:pPr>
            <w:r>
              <w:rPr>
                <w:rFonts w:hint="eastAsia" w:ascii="宋体" w:hAnsi="宋体"/>
                <w:color w:val="auto"/>
                <w:sz w:val="24"/>
              </w:rPr>
              <w:t>《建设工程工程量清单计价规范》（GB50500-2013）；</w:t>
            </w:r>
          </w:p>
          <w:p>
            <w:pPr>
              <w:numPr>
                <w:ilvl w:val="0"/>
                <w:numId w:val="2"/>
              </w:numPr>
              <w:spacing w:line="360" w:lineRule="auto"/>
              <w:ind w:left="0" w:leftChars="0" w:firstLine="400" w:firstLineChars="0"/>
              <w:rPr>
                <w:rFonts w:hint="eastAsia" w:ascii="宋体" w:hAnsi="宋体"/>
                <w:color w:val="auto"/>
                <w:sz w:val="24"/>
                <w:szCs w:val="24"/>
              </w:rPr>
            </w:pP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市政工程工程量计算规范</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lang w:val="en-US" w:eastAsia="zh-CN"/>
              </w:rPr>
              <w:t>(</w:t>
            </w:r>
            <w:r>
              <w:rPr>
                <w:rFonts w:hint="eastAsia" w:ascii="宋体" w:hAnsi="宋体" w:eastAsia="宋体" w:cs="宋体"/>
                <w:spacing w:val="6"/>
                <w:sz w:val="24"/>
                <w:szCs w:val="24"/>
              </w:rPr>
              <w:t>GB50857-2013</w:t>
            </w:r>
            <w:r>
              <w:rPr>
                <w:rFonts w:hint="eastAsia" w:ascii="宋体" w:hAnsi="宋体" w:eastAsia="宋体" w:cs="宋体"/>
                <w:spacing w:val="6"/>
                <w:sz w:val="24"/>
                <w:szCs w:val="24"/>
                <w:lang w:val="en-US" w:eastAsia="zh-CN"/>
              </w:rPr>
              <w:t>)；</w:t>
            </w:r>
          </w:p>
          <w:p>
            <w:pPr>
              <w:numPr>
                <w:ilvl w:val="0"/>
                <w:numId w:val="2"/>
              </w:numPr>
              <w:spacing w:line="360" w:lineRule="auto"/>
              <w:ind w:left="0" w:leftChars="0" w:firstLine="400" w:firstLineChars="0"/>
              <w:rPr>
                <w:rFonts w:hint="eastAsia" w:ascii="宋体" w:hAnsi="宋体" w:eastAsia="宋体" w:cs="宋体"/>
                <w:spacing w:val="6"/>
                <w:sz w:val="24"/>
                <w:szCs w:val="24"/>
              </w:rPr>
            </w:pP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园林绿化工程工程量计算规范</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GB50858-201</w:t>
            </w:r>
            <w:r>
              <w:rPr>
                <w:rFonts w:hint="eastAsia" w:ascii="宋体" w:hAnsi="宋体" w:eastAsia="宋体" w:cs="宋体"/>
                <w:spacing w:val="6"/>
                <w:sz w:val="24"/>
                <w:szCs w:val="24"/>
                <w:lang w:val="en-US" w:eastAsia="zh-CN"/>
              </w:rPr>
              <w:t>3;</w:t>
            </w:r>
          </w:p>
          <w:p>
            <w:pPr>
              <w:numPr>
                <w:ilvl w:val="0"/>
                <w:numId w:val="2"/>
              </w:numPr>
              <w:spacing w:line="360" w:lineRule="auto"/>
              <w:ind w:left="0" w:leftChars="0" w:firstLine="400" w:firstLineChars="0"/>
              <w:rPr>
                <w:rFonts w:hint="eastAsia" w:ascii="宋体" w:hAnsi="宋体"/>
                <w:color w:val="auto"/>
                <w:sz w:val="24"/>
              </w:rPr>
            </w:pPr>
            <w:r>
              <w:rPr>
                <w:rFonts w:hint="eastAsia" w:ascii="宋体" w:hAnsi="宋体"/>
                <w:color w:val="auto"/>
                <w:sz w:val="24"/>
                <w:szCs w:val="24"/>
              </w:rPr>
              <w:t>国家、省、市级建设行政主管部门颁发的有关计量计费依据和规定；</w:t>
            </w:r>
          </w:p>
          <w:p>
            <w:pPr>
              <w:numPr>
                <w:ilvl w:val="0"/>
                <w:numId w:val="2"/>
              </w:numPr>
              <w:spacing w:line="360" w:lineRule="auto"/>
              <w:ind w:left="0" w:leftChars="0" w:firstLine="400" w:firstLineChars="0"/>
              <w:rPr>
                <w:rFonts w:hint="eastAsia" w:ascii="宋体" w:hAnsi="宋体"/>
                <w:color w:val="auto"/>
                <w:sz w:val="24"/>
              </w:rPr>
            </w:pPr>
            <w:r>
              <w:rPr>
                <w:rFonts w:hint="eastAsia" w:ascii="宋体" w:hAnsi="宋体"/>
                <w:color w:val="auto"/>
                <w:sz w:val="24"/>
              </w:rPr>
              <w:t>本工程项目的设计文件及相关资料；</w:t>
            </w:r>
          </w:p>
          <w:p>
            <w:pPr>
              <w:numPr>
                <w:ilvl w:val="0"/>
                <w:numId w:val="2"/>
              </w:numPr>
              <w:spacing w:line="360" w:lineRule="auto"/>
              <w:ind w:left="0" w:leftChars="0" w:firstLine="400" w:firstLineChars="0"/>
              <w:rPr>
                <w:rFonts w:hint="eastAsia" w:ascii="宋体" w:hAnsi="宋体" w:eastAsia="宋体" w:cs="Times New Roman"/>
                <w:color w:val="auto"/>
                <w:sz w:val="24"/>
                <w:szCs w:val="24"/>
              </w:rPr>
            </w:pPr>
            <w:r>
              <w:rPr>
                <w:rFonts w:hint="eastAsia" w:ascii="宋体" w:hAnsi="宋体" w:eastAsia="宋体" w:cs="Times New Roman"/>
                <w:color w:val="auto"/>
                <w:sz w:val="24"/>
                <w:szCs w:val="24"/>
              </w:rPr>
              <w:t>与本工程项目有关的标准、规范、技术资料</w:t>
            </w:r>
            <w:r>
              <w:rPr>
                <w:rFonts w:hint="eastAsia" w:ascii="宋体" w:hAnsi="宋体" w:eastAsia="宋体" w:cs="Times New Roman"/>
                <w:color w:val="auto"/>
                <w:sz w:val="24"/>
                <w:szCs w:val="24"/>
                <w:lang w:eastAsia="zh-CN"/>
              </w:rPr>
              <w:t>；</w:t>
            </w:r>
          </w:p>
          <w:p>
            <w:pPr>
              <w:numPr>
                <w:ilvl w:val="0"/>
                <w:numId w:val="2"/>
              </w:numPr>
              <w:spacing w:line="360" w:lineRule="auto"/>
              <w:ind w:left="0" w:leftChars="0" w:firstLine="400" w:firstLineChars="0"/>
              <w:rPr>
                <w:rFonts w:hint="eastAsia" w:ascii="宋体" w:hAnsi="宋体" w:eastAsia="宋体" w:cs="Times New Roman"/>
                <w:color w:val="auto"/>
                <w:sz w:val="24"/>
                <w:szCs w:val="24"/>
              </w:rPr>
            </w:pPr>
            <w:r>
              <w:rPr>
                <w:rFonts w:hint="eastAsia" w:ascii="宋体" w:hAnsi="宋体" w:eastAsia="宋体" w:cs="Times New Roman"/>
                <w:color w:val="auto"/>
                <w:sz w:val="24"/>
                <w:szCs w:val="24"/>
              </w:rPr>
              <w:t>施工现场情况、工程特点及常规施工方案；</w:t>
            </w:r>
          </w:p>
          <w:p>
            <w:pPr>
              <w:numPr>
                <w:ilvl w:val="0"/>
                <w:numId w:val="2"/>
              </w:numPr>
              <w:spacing w:line="360" w:lineRule="auto"/>
              <w:ind w:left="0" w:leftChars="0" w:firstLine="400" w:firstLineChars="0"/>
              <w:rPr>
                <w:rFonts w:hint="eastAsia" w:ascii="宋体" w:hAnsi="宋体" w:eastAsia="宋体" w:cs="Times New Roman"/>
                <w:color w:val="auto"/>
                <w:sz w:val="24"/>
                <w:szCs w:val="24"/>
              </w:rPr>
            </w:pPr>
            <w:r>
              <w:rPr>
                <w:rFonts w:hint="eastAsia" w:ascii="宋体" w:hAnsi="宋体" w:eastAsia="宋体" w:cs="Times New Roman"/>
                <w:color w:val="auto"/>
                <w:sz w:val="24"/>
                <w:szCs w:val="24"/>
              </w:rPr>
              <w:t>省住房城乡建设厅关于《建设工程工程量清单计价规范》（GB50500—2013）及其9本工程量计算规范的贯彻意见（苏建价〔2014〕448号）；</w:t>
            </w:r>
          </w:p>
          <w:p>
            <w:pPr>
              <w:numPr>
                <w:ilvl w:val="0"/>
                <w:numId w:val="2"/>
              </w:numPr>
              <w:spacing w:line="360" w:lineRule="auto"/>
              <w:ind w:left="0" w:leftChars="0" w:firstLine="400" w:firstLineChars="0"/>
              <w:rPr>
                <w:rFonts w:hint="eastAsia" w:ascii="宋体" w:hAnsi="宋体"/>
                <w:color w:val="auto"/>
                <w:sz w:val="24"/>
              </w:rPr>
            </w:pPr>
            <w:r>
              <w:rPr>
                <w:rFonts w:hint="eastAsia" w:ascii="宋体" w:hAnsi="宋体"/>
                <w:color w:val="auto"/>
                <w:sz w:val="24"/>
              </w:rPr>
              <w:t>关于执行《省住房城乡建设厅关于〈建设工程工程量清单计价规范〉（GB50500-2013）及其9本工程量计算规范的贯彻意见》的通知（扬建工〔2014〕20号）；</w:t>
            </w:r>
          </w:p>
          <w:p>
            <w:pPr>
              <w:numPr>
                <w:ilvl w:val="0"/>
                <w:numId w:val="2"/>
              </w:numPr>
              <w:spacing w:line="360" w:lineRule="auto"/>
              <w:ind w:left="0" w:leftChars="0" w:firstLine="400" w:firstLineChars="0"/>
              <w:rPr>
                <w:rFonts w:hint="eastAsia" w:ascii="宋体" w:hAnsi="宋体"/>
                <w:color w:val="auto"/>
                <w:sz w:val="24"/>
              </w:rPr>
            </w:pPr>
            <w:r>
              <w:rPr>
                <w:rFonts w:hint="eastAsia" w:ascii="宋体" w:hAnsi="宋体"/>
                <w:color w:val="auto"/>
                <w:sz w:val="24"/>
              </w:rPr>
              <w:t>其他相关资料。</w:t>
            </w:r>
          </w:p>
          <w:p>
            <w:pPr>
              <w:spacing w:line="360" w:lineRule="auto"/>
              <w:ind w:firstLine="482" w:firstLineChars="200"/>
              <w:rPr>
                <w:rFonts w:hint="eastAsia" w:ascii="宋体" w:hAnsi="宋体"/>
                <w:b/>
                <w:color w:val="auto"/>
                <w:sz w:val="24"/>
              </w:rPr>
            </w:pPr>
            <w:r>
              <w:rPr>
                <w:rFonts w:hint="eastAsia" w:ascii="宋体" w:hAnsi="宋体"/>
                <w:b/>
                <w:color w:val="auto"/>
                <w:sz w:val="24"/>
              </w:rPr>
              <w:t>四、工程质量要求</w:t>
            </w:r>
          </w:p>
          <w:p>
            <w:pPr>
              <w:spacing w:line="360" w:lineRule="auto"/>
              <w:ind w:firstLine="480" w:firstLineChars="200"/>
              <w:rPr>
                <w:rFonts w:hint="eastAsia" w:ascii="宋体" w:hAnsi="宋体"/>
                <w:color w:val="auto"/>
                <w:sz w:val="24"/>
              </w:rPr>
            </w:pPr>
            <w:r>
              <w:rPr>
                <w:rFonts w:hint="eastAsia" w:ascii="宋体" w:hAnsi="宋体"/>
                <w:color w:val="auto"/>
                <w:sz w:val="24"/>
              </w:rPr>
              <w:t>根据招标文件的要求；</w:t>
            </w:r>
          </w:p>
          <w:p>
            <w:pPr>
              <w:spacing w:line="360" w:lineRule="auto"/>
              <w:ind w:firstLine="482" w:firstLineChars="200"/>
              <w:rPr>
                <w:rFonts w:hint="eastAsia" w:ascii="宋体" w:hAnsi="宋体"/>
                <w:b/>
                <w:color w:val="auto"/>
                <w:sz w:val="24"/>
              </w:rPr>
            </w:pPr>
            <w:r>
              <w:rPr>
                <w:rFonts w:hint="eastAsia" w:ascii="宋体" w:hAnsi="宋体"/>
                <w:b/>
                <w:color w:val="auto"/>
                <w:sz w:val="24"/>
              </w:rPr>
              <w:t>五、安全文明施工要求</w:t>
            </w:r>
          </w:p>
          <w:p>
            <w:pPr>
              <w:spacing w:line="360" w:lineRule="auto"/>
              <w:ind w:firstLine="480" w:firstLineChars="200"/>
              <w:rPr>
                <w:rFonts w:hint="eastAsia" w:ascii="宋体" w:hAnsi="宋体"/>
                <w:b/>
                <w:color w:val="auto"/>
                <w:sz w:val="24"/>
              </w:rPr>
            </w:pPr>
            <w:r>
              <w:rPr>
                <w:rFonts w:hint="eastAsia" w:ascii="宋体" w:hAnsi="宋体"/>
                <w:color w:val="auto"/>
                <w:sz w:val="24"/>
              </w:rPr>
              <w:t>按现行的相关规定执行</w:t>
            </w:r>
            <w:r>
              <w:rPr>
                <w:rFonts w:hint="eastAsia" w:ascii="宋体" w:hAnsi="宋体"/>
                <w:color w:val="auto"/>
                <w:sz w:val="24"/>
                <w:lang w:eastAsia="zh-CN"/>
              </w:rPr>
              <w:t>，</w:t>
            </w:r>
            <w:r>
              <w:rPr>
                <w:rFonts w:hint="eastAsia" w:ascii="宋体" w:hAnsi="宋体"/>
                <w:color w:val="auto"/>
                <w:sz w:val="24"/>
              </w:rPr>
              <w:t>根据招标文件的要求</w:t>
            </w:r>
            <w:r>
              <w:rPr>
                <w:rFonts w:hint="eastAsia" w:ascii="宋体" w:hAnsi="宋体"/>
                <w:b/>
                <w:color w:val="auto"/>
                <w:sz w:val="24"/>
                <w:lang w:eastAsia="zh-CN"/>
              </w:rPr>
              <w:t>。</w:t>
            </w:r>
          </w:p>
          <w:p>
            <w:pPr>
              <w:spacing w:line="360" w:lineRule="auto"/>
              <w:ind w:firstLine="482" w:firstLineChars="200"/>
              <w:rPr>
                <w:rFonts w:hint="eastAsia" w:ascii="宋体" w:hAnsi="宋体"/>
                <w:b/>
                <w:color w:val="auto"/>
                <w:sz w:val="24"/>
              </w:rPr>
            </w:pPr>
            <w:r>
              <w:rPr>
                <w:rFonts w:hint="eastAsia" w:ascii="宋体" w:hAnsi="宋体"/>
                <w:b/>
                <w:color w:val="auto"/>
                <w:sz w:val="24"/>
              </w:rPr>
              <w:t>六、投标人在投标时应按《建设工程工程量清单计价规范》（GB50500-2013）和招标文件规定的格式，提供完整齐全的投标报价文件。</w:t>
            </w:r>
          </w:p>
          <w:p>
            <w:pPr>
              <w:spacing w:line="360" w:lineRule="auto"/>
              <w:ind w:firstLine="482" w:firstLineChars="200"/>
              <w:rPr>
                <w:rFonts w:hint="eastAsia" w:ascii="宋体" w:hAnsi="宋体"/>
                <w:b/>
                <w:color w:val="auto"/>
                <w:sz w:val="24"/>
              </w:rPr>
            </w:pPr>
            <w:r>
              <w:rPr>
                <w:rFonts w:hint="eastAsia" w:ascii="宋体" w:hAnsi="宋体"/>
                <w:b/>
                <w:color w:val="auto"/>
                <w:sz w:val="24"/>
              </w:rPr>
              <w:t>七、工程量清单编制的相关说明</w:t>
            </w:r>
          </w:p>
          <w:p>
            <w:pPr>
              <w:spacing w:line="360" w:lineRule="auto"/>
              <w:ind w:firstLine="482" w:firstLineChars="200"/>
              <w:rPr>
                <w:rFonts w:hint="eastAsia" w:ascii="宋体" w:hAnsi="宋体" w:cs="宋体"/>
                <w:b/>
                <w:color w:val="auto"/>
                <w:kern w:val="0"/>
                <w:sz w:val="24"/>
              </w:rPr>
            </w:pPr>
            <w:r>
              <w:rPr>
                <w:rFonts w:hint="eastAsia" w:ascii="宋体" w:hAnsi="宋体"/>
                <w:b/>
                <w:color w:val="auto"/>
                <w:sz w:val="24"/>
              </w:rPr>
              <w:t>1.分部分项工程量清单</w:t>
            </w:r>
          </w:p>
          <w:p>
            <w:pPr>
              <w:spacing w:line="360" w:lineRule="auto"/>
              <w:ind w:firstLine="482" w:firstLineChars="200"/>
              <w:rPr>
                <w:rFonts w:hint="eastAsia" w:ascii="宋体" w:hAnsi="宋体" w:cs="宋体"/>
                <w:b/>
                <w:color w:val="auto"/>
                <w:kern w:val="0"/>
                <w:sz w:val="24"/>
              </w:rPr>
            </w:pPr>
            <w:r>
              <w:rPr>
                <w:rFonts w:hint="eastAsia" w:ascii="宋体" w:hAnsi="宋体" w:cs="宋体"/>
                <w:b/>
                <w:color w:val="auto"/>
                <w:kern w:val="0"/>
                <w:sz w:val="24"/>
              </w:rPr>
              <w:t>1.1土石方工程</w:t>
            </w:r>
          </w:p>
          <w:p>
            <w:pPr>
              <w:numPr>
                <w:ilvl w:val="0"/>
                <w:numId w:val="3"/>
              </w:numPr>
              <w:spacing w:line="360" w:lineRule="auto"/>
              <w:ind w:left="425" w:leftChars="0" w:hanging="5" w:firstLineChars="0"/>
              <w:rPr>
                <w:rFonts w:hint="eastAsia" w:ascii="宋体" w:hAnsi="宋体" w:cs="宋体"/>
                <w:b/>
                <w:color w:val="auto"/>
                <w:kern w:val="0"/>
                <w:sz w:val="24"/>
              </w:rPr>
            </w:pPr>
            <w:r>
              <w:rPr>
                <w:rFonts w:hint="eastAsia" w:ascii="宋体" w:hAnsi="宋体" w:cs="宋体"/>
                <w:b/>
                <w:color w:val="auto"/>
                <w:kern w:val="0"/>
                <w:sz w:val="24"/>
                <w:lang w:eastAsia="zh-CN"/>
              </w:rPr>
              <w:t>投标人自行</w:t>
            </w:r>
            <w:r>
              <w:rPr>
                <w:rFonts w:hint="eastAsia" w:ascii="宋体" w:hAnsi="宋体" w:cs="宋体"/>
                <w:b/>
                <w:color w:val="auto"/>
                <w:kern w:val="0"/>
                <w:sz w:val="24"/>
                <w:lang w:val="en-US" w:eastAsia="zh-CN"/>
              </w:rPr>
              <w:t>考虑土石方调配方案，外运运距结算不做调整</w:t>
            </w:r>
            <w:r>
              <w:rPr>
                <w:rFonts w:hint="eastAsia" w:ascii="宋体" w:hAnsi="宋体" w:cs="宋体"/>
                <w:b/>
                <w:color w:val="auto"/>
                <w:kern w:val="0"/>
                <w:sz w:val="24"/>
                <w:lang w:eastAsia="zh-CN"/>
              </w:rPr>
              <w:t>。</w:t>
            </w:r>
          </w:p>
          <w:p>
            <w:pPr>
              <w:spacing w:line="360" w:lineRule="auto"/>
              <w:ind w:firstLine="472" w:firstLineChars="196"/>
              <w:rPr>
                <w:rFonts w:hint="eastAsia" w:ascii="宋体" w:hAnsi="宋体"/>
                <w:b/>
                <w:color w:val="auto"/>
                <w:sz w:val="24"/>
              </w:rPr>
            </w:pPr>
            <w:r>
              <w:rPr>
                <w:rFonts w:hint="eastAsia" w:ascii="宋体" w:hAnsi="宋体"/>
                <w:b/>
                <w:color w:val="auto"/>
                <w:sz w:val="24"/>
              </w:rPr>
              <w:t>2措施项目清单：根据本项目的具体情况，列入以下措施项目清单：</w:t>
            </w:r>
          </w:p>
          <w:p>
            <w:pPr>
              <w:snapToGrid w:val="0"/>
              <w:spacing w:line="360" w:lineRule="auto"/>
              <w:ind w:firstLine="482" w:firstLineChars="200"/>
              <w:rPr>
                <w:rFonts w:hint="eastAsia" w:ascii="宋体" w:hAnsi="宋体"/>
                <w:b/>
                <w:color w:val="auto"/>
                <w:sz w:val="24"/>
              </w:rPr>
            </w:pPr>
            <w:r>
              <w:rPr>
                <w:rFonts w:hint="eastAsia" w:ascii="宋体" w:hAnsi="宋体" w:cs="宋体"/>
                <w:b/>
                <w:color w:val="auto"/>
                <w:kern w:val="0"/>
                <w:sz w:val="24"/>
              </w:rPr>
              <w:t>2.1总价措施项目清单</w:t>
            </w:r>
          </w:p>
          <w:p>
            <w:pPr>
              <w:snapToGrid w:val="0"/>
              <w:spacing w:line="360" w:lineRule="auto"/>
              <w:ind w:firstLine="480" w:firstLineChars="200"/>
              <w:rPr>
                <w:rFonts w:hint="eastAsia" w:ascii="宋体" w:hAnsi="宋体"/>
                <w:color w:val="auto"/>
                <w:sz w:val="24"/>
              </w:rPr>
            </w:pPr>
            <w:r>
              <w:rPr>
                <w:rFonts w:hint="eastAsia" w:ascii="宋体" w:hAnsi="宋体"/>
                <w:color w:val="auto"/>
                <w:sz w:val="24"/>
              </w:rPr>
              <w:t>2.1.1安全文明施工费；</w:t>
            </w:r>
          </w:p>
          <w:p>
            <w:pPr>
              <w:snapToGrid w:val="0"/>
              <w:spacing w:line="360" w:lineRule="auto"/>
              <w:ind w:firstLine="480" w:firstLineChars="200"/>
              <w:rPr>
                <w:rFonts w:hint="eastAsia" w:cs="宋体"/>
                <w:color w:val="auto"/>
                <w:kern w:val="0"/>
                <w:sz w:val="24"/>
                <w:szCs w:val="21"/>
              </w:rPr>
            </w:pPr>
            <w:r>
              <w:rPr>
                <w:rFonts w:hint="eastAsia" w:ascii="宋体" w:hAnsi="宋体"/>
                <w:color w:val="auto"/>
                <w:sz w:val="24"/>
              </w:rPr>
              <w:t>2.1.1.1</w:t>
            </w:r>
            <w:r>
              <w:rPr>
                <w:rFonts w:hint="eastAsia" w:cs="宋体"/>
                <w:color w:val="auto"/>
                <w:kern w:val="0"/>
                <w:sz w:val="24"/>
                <w:szCs w:val="21"/>
              </w:rPr>
              <w:t>基本费；</w:t>
            </w:r>
          </w:p>
          <w:p>
            <w:pPr>
              <w:snapToGrid w:val="0"/>
              <w:spacing w:line="36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2.1.1.2增加费：无；</w:t>
            </w:r>
          </w:p>
          <w:p>
            <w:pPr>
              <w:snapToGrid w:val="0"/>
              <w:spacing w:line="360" w:lineRule="auto"/>
              <w:ind w:firstLine="480" w:firstLineChars="200"/>
              <w:rPr>
                <w:rFonts w:hint="default" w:ascii="宋体" w:hAnsi="宋体"/>
                <w:color w:val="auto"/>
                <w:sz w:val="24"/>
                <w:lang w:val="en-US" w:eastAsia="zh-CN"/>
              </w:rPr>
            </w:pPr>
            <w:r>
              <w:rPr>
                <w:rFonts w:hint="eastAsia" w:ascii="宋体" w:hAnsi="宋体"/>
                <w:color w:val="auto"/>
                <w:sz w:val="24"/>
                <w:lang w:val="en-US" w:eastAsia="zh-CN"/>
              </w:rPr>
              <w:t>2.1.1.3扬尘污染防治增加费：计取；</w:t>
            </w:r>
          </w:p>
          <w:p>
            <w:pPr>
              <w:snapToGrid w:val="0"/>
              <w:spacing w:line="360" w:lineRule="auto"/>
              <w:ind w:firstLine="480" w:firstLineChars="200"/>
              <w:rPr>
                <w:rFonts w:hint="eastAsia" w:ascii="宋体" w:hAnsi="宋体"/>
                <w:color w:val="auto"/>
                <w:sz w:val="24"/>
              </w:rPr>
            </w:pPr>
            <w:r>
              <w:rPr>
                <w:rFonts w:hint="eastAsia" w:ascii="宋体" w:hAnsi="宋体"/>
                <w:color w:val="auto"/>
                <w:sz w:val="24"/>
              </w:rPr>
              <w:t>2.1.2冬雨季施工增加费</w:t>
            </w:r>
            <w:r>
              <w:rPr>
                <w:rFonts w:hint="eastAsia" w:ascii="宋体" w:hAnsi="宋体"/>
                <w:color w:val="auto"/>
                <w:sz w:val="24"/>
                <w:lang w:eastAsia="zh-CN"/>
              </w:rPr>
              <w:t>、</w:t>
            </w:r>
            <w:r>
              <w:rPr>
                <w:rFonts w:hint="eastAsia" w:ascii="宋体" w:hAnsi="宋体"/>
                <w:color w:val="auto"/>
                <w:sz w:val="24"/>
                <w:lang w:val="en-US" w:eastAsia="zh-CN"/>
              </w:rPr>
              <w:t>反季节栽植影响措施</w:t>
            </w:r>
            <w:r>
              <w:rPr>
                <w:rFonts w:hint="eastAsia" w:ascii="宋体" w:hAnsi="宋体"/>
                <w:color w:val="auto"/>
                <w:sz w:val="24"/>
              </w:rPr>
              <w:t>；</w:t>
            </w:r>
          </w:p>
          <w:p>
            <w:pPr>
              <w:snapToGrid w:val="0"/>
              <w:spacing w:line="360" w:lineRule="auto"/>
              <w:ind w:firstLine="480" w:firstLineChars="200"/>
              <w:rPr>
                <w:rFonts w:hint="eastAsia" w:ascii="宋体" w:hAnsi="宋体"/>
                <w:color w:val="auto"/>
                <w:sz w:val="24"/>
              </w:rPr>
            </w:pPr>
            <w:r>
              <w:rPr>
                <w:rFonts w:hint="eastAsia" w:ascii="宋体" w:hAnsi="宋体"/>
                <w:color w:val="auto"/>
                <w:sz w:val="24"/>
              </w:rPr>
              <w:t>2.1.3已完工程及设备保护；</w:t>
            </w:r>
          </w:p>
          <w:p>
            <w:pPr>
              <w:snapToGrid w:val="0"/>
              <w:spacing w:line="360" w:lineRule="auto"/>
              <w:ind w:firstLine="480" w:firstLineChars="200"/>
              <w:rPr>
                <w:rFonts w:hint="eastAsia" w:ascii="宋体" w:hAnsi="宋体"/>
                <w:color w:val="auto"/>
                <w:sz w:val="24"/>
              </w:rPr>
            </w:pPr>
            <w:r>
              <w:rPr>
                <w:rFonts w:hint="eastAsia" w:ascii="宋体" w:hAnsi="宋体"/>
                <w:color w:val="auto"/>
                <w:sz w:val="24"/>
              </w:rPr>
              <w:t>2.1.4临时设施；</w:t>
            </w:r>
          </w:p>
          <w:p>
            <w:pPr>
              <w:tabs>
                <w:tab w:val="left" w:pos="2920"/>
              </w:tabs>
              <w:snapToGrid w:val="0"/>
              <w:spacing w:line="360" w:lineRule="auto"/>
              <w:ind w:firstLine="480" w:firstLineChars="200"/>
              <w:rPr>
                <w:rFonts w:hint="eastAsia" w:ascii="宋体" w:hAnsi="宋体"/>
                <w:color w:val="auto"/>
                <w:sz w:val="24"/>
                <w:lang w:eastAsia="zh-CN"/>
              </w:rPr>
            </w:pPr>
            <w:r>
              <w:rPr>
                <w:rFonts w:hint="eastAsia" w:ascii="宋体" w:hAnsi="宋体"/>
                <w:color w:val="auto"/>
                <w:sz w:val="24"/>
              </w:rPr>
              <w:t>2.1.5</w:t>
            </w:r>
            <w:r>
              <w:rPr>
                <w:rFonts w:hint="eastAsia" w:ascii="宋体" w:hAnsi="宋体"/>
                <w:color w:val="auto"/>
                <w:sz w:val="24"/>
                <w:lang w:val="en-US" w:eastAsia="zh-CN"/>
              </w:rPr>
              <w:t>赶工措施：不计</w:t>
            </w:r>
            <w:r>
              <w:rPr>
                <w:rFonts w:hint="eastAsia" w:ascii="宋体" w:hAnsi="宋体"/>
                <w:color w:val="auto"/>
                <w:sz w:val="24"/>
              </w:rPr>
              <w:t>；</w:t>
            </w:r>
            <w:r>
              <w:rPr>
                <w:rFonts w:hint="eastAsia" w:ascii="宋体" w:hAnsi="宋体"/>
                <w:color w:val="auto"/>
                <w:sz w:val="24"/>
                <w:lang w:eastAsia="zh-CN"/>
              </w:rPr>
              <w:tab/>
            </w:r>
          </w:p>
          <w:p>
            <w:pPr>
              <w:tabs>
                <w:tab w:val="left" w:pos="2920"/>
              </w:tabs>
              <w:snapToGrid w:val="0"/>
              <w:spacing w:line="360" w:lineRule="auto"/>
              <w:ind w:firstLine="480" w:firstLineChars="200"/>
              <w:rPr>
                <w:rFonts w:hint="default" w:ascii="宋体" w:hAnsi="宋体"/>
                <w:color w:val="auto"/>
                <w:sz w:val="24"/>
                <w:lang w:val="en-US" w:eastAsia="zh-CN"/>
              </w:rPr>
            </w:pPr>
            <w:r>
              <w:rPr>
                <w:rFonts w:hint="eastAsia" w:ascii="宋体" w:hAnsi="宋体"/>
                <w:color w:val="auto"/>
                <w:sz w:val="24"/>
                <w:lang w:val="en-US" w:eastAsia="zh-CN"/>
              </w:rPr>
              <w:t>2.1.6建筑工人实名制费用；</w:t>
            </w:r>
          </w:p>
          <w:p>
            <w:pPr>
              <w:snapToGrid w:val="0"/>
              <w:spacing w:line="360" w:lineRule="auto"/>
              <w:ind w:firstLine="482" w:firstLineChars="200"/>
              <w:rPr>
                <w:rFonts w:hint="eastAsia" w:ascii="宋体" w:hAnsi="宋体" w:cs="宋体"/>
                <w:b/>
                <w:color w:val="auto"/>
                <w:kern w:val="0"/>
                <w:sz w:val="24"/>
              </w:rPr>
            </w:pPr>
            <w:r>
              <w:rPr>
                <w:rFonts w:hint="eastAsia" w:ascii="宋体" w:hAnsi="宋体" w:cs="宋体"/>
                <w:b/>
                <w:color w:val="auto"/>
                <w:kern w:val="0"/>
                <w:sz w:val="24"/>
              </w:rPr>
              <w:t>2.2单价措施项目清单</w:t>
            </w:r>
          </w:p>
          <w:p>
            <w:pPr>
              <w:snapToGrid w:val="0"/>
              <w:spacing w:line="360" w:lineRule="auto"/>
              <w:ind w:firstLine="482" w:firstLineChars="200"/>
              <w:rPr>
                <w:rFonts w:hint="eastAsia" w:ascii="宋体" w:hAnsi="宋体" w:cs="宋体"/>
                <w:b/>
                <w:color w:val="auto"/>
                <w:kern w:val="0"/>
                <w:sz w:val="24"/>
                <w:lang w:val="en-US" w:eastAsia="zh-CN"/>
              </w:rPr>
            </w:pPr>
            <w:r>
              <w:rPr>
                <w:rFonts w:hint="eastAsia" w:ascii="宋体" w:hAnsi="宋体" w:cs="宋体"/>
                <w:b/>
                <w:color w:val="auto"/>
                <w:kern w:val="0"/>
                <w:sz w:val="24"/>
                <w:lang w:val="en-US" w:eastAsia="zh-CN"/>
              </w:rPr>
              <w:t>2.2.1</w:t>
            </w:r>
            <w:r>
              <w:rPr>
                <w:rFonts w:hint="eastAsia" w:ascii="宋体" w:hAnsi="宋体" w:eastAsia="宋体" w:cs="Times New Roman"/>
                <w:color w:val="auto"/>
                <w:sz w:val="24"/>
                <w:lang w:val="en-US" w:eastAsia="zh-CN"/>
              </w:rPr>
              <w:t>大型机械设备进出场及安拆：机械进退场费按1次包干，投标单位报价充分考虑，结算不予调整</w:t>
            </w:r>
            <w:r>
              <w:rPr>
                <w:rFonts w:hint="eastAsia" w:ascii="宋体" w:hAnsi="宋体" w:cs="宋体"/>
                <w:b/>
                <w:color w:val="auto"/>
                <w:kern w:val="0"/>
                <w:sz w:val="24"/>
                <w:lang w:val="en-US" w:eastAsia="zh-CN"/>
              </w:rPr>
              <w:t>。</w:t>
            </w:r>
          </w:p>
          <w:p>
            <w:pPr>
              <w:snapToGrid w:val="0"/>
              <w:spacing w:line="360" w:lineRule="auto"/>
              <w:ind w:firstLine="482" w:firstLineChars="200"/>
              <w:rPr>
                <w:rFonts w:hint="eastAsia" w:ascii="宋体" w:hAnsi="宋体" w:eastAsia="宋体" w:cs="Times New Roman"/>
                <w:color w:val="auto"/>
                <w:sz w:val="24"/>
                <w:lang w:val="en-US" w:eastAsia="zh-CN"/>
              </w:rPr>
            </w:pPr>
            <w:r>
              <w:rPr>
                <w:rFonts w:hint="eastAsia" w:ascii="宋体" w:hAnsi="宋体" w:cs="宋体"/>
                <w:b/>
                <w:color w:val="auto"/>
                <w:kern w:val="0"/>
                <w:sz w:val="24"/>
                <w:lang w:val="en-US" w:eastAsia="zh-CN"/>
              </w:rPr>
              <w:t>2.2.2</w:t>
            </w:r>
            <w:r>
              <w:rPr>
                <w:rFonts w:hint="eastAsia" w:ascii="宋体" w:hAnsi="宋体" w:eastAsia="宋体" w:cs="Times New Roman"/>
                <w:color w:val="auto"/>
                <w:sz w:val="24"/>
                <w:lang w:val="en-US" w:eastAsia="zh-CN"/>
              </w:rPr>
              <w:t>水电接入费用</w:t>
            </w:r>
            <w:r>
              <w:rPr>
                <w:rFonts w:hint="eastAsia" w:ascii="宋体" w:hAnsi="宋体"/>
                <w:bCs/>
                <w:sz w:val="24"/>
                <w:szCs w:val="24"/>
              </w:rPr>
              <w:t>投标人自行报价，费用按项包干使用</w:t>
            </w:r>
            <w:r>
              <w:rPr>
                <w:rFonts w:hint="eastAsia" w:ascii="宋体" w:hAnsi="宋体"/>
                <w:bCs/>
                <w:sz w:val="24"/>
                <w:szCs w:val="24"/>
                <w:lang w:eastAsia="zh-CN"/>
              </w:rPr>
              <w:t>。</w:t>
            </w:r>
          </w:p>
          <w:p>
            <w:pPr>
              <w:snapToGrid w:val="0"/>
              <w:spacing w:line="360" w:lineRule="auto"/>
              <w:ind w:firstLine="482" w:firstLineChars="200"/>
              <w:rPr>
                <w:rFonts w:hint="default" w:ascii="宋体" w:hAnsi="宋体" w:cs="宋体"/>
                <w:b/>
                <w:color w:val="auto"/>
                <w:kern w:val="0"/>
                <w:sz w:val="24"/>
                <w:lang w:val="en-US" w:eastAsia="zh-CN"/>
              </w:rPr>
            </w:pPr>
            <w:r>
              <w:rPr>
                <w:rFonts w:hint="eastAsia" w:ascii="宋体" w:hAnsi="宋体" w:cs="宋体"/>
                <w:b/>
                <w:color w:val="auto"/>
                <w:kern w:val="0"/>
                <w:sz w:val="24"/>
                <w:lang w:val="en-US" w:eastAsia="zh-CN"/>
              </w:rPr>
              <w:t>2.2.3</w:t>
            </w:r>
            <w:r>
              <w:rPr>
                <w:rFonts w:hint="eastAsia" w:ascii="宋体" w:hAnsi="宋体" w:eastAsia="宋体" w:cs="Times New Roman"/>
                <w:color w:val="auto"/>
                <w:sz w:val="24"/>
                <w:lang w:val="en-US" w:eastAsia="zh-CN"/>
              </w:rPr>
              <w:t>措施项目清单报价投标人应根据现场踏勘情况、工程项目特性、施工组织设计方案增加相应措施项目费用；各投标人根据施工图及现场踏勘等因素及企业自身实际条件具体报价，竣工结算时如无招标文件中相关明示结算条款时均不作任何调</w:t>
            </w:r>
            <w:r>
              <w:rPr>
                <w:rFonts w:hint="eastAsia" w:ascii="宋体" w:hAnsi="宋体" w:eastAsia="宋体" w:cs="Times New Roman"/>
                <w:b w:val="0"/>
                <w:bCs w:val="0"/>
                <w:color w:val="auto"/>
                <w:sz w:val="24"/>
                <w:lang w:val="en-US" w:eastAsia="zh-CN"/>
              </w:rPr>
              <w:t>整</w:t>
            </w:r>
            <w:r>
              <w:rPr>
                <w:rFonts w:hint="eastAsia" w:ascii="宋体" w:hAnsi="宋体" w:cs="宋体"/>
                <w:b w:val="0"/>
                <w:bCs w:val="0"/>
                <w:color w:val="auto"/>
                <w:kern w:val="0"/>
                <w:sz w:val="24"/>
                <w:lang w:val="en-US" w:eastAsia="zh-CN"/>
              </w:rPr>
              <w:t>。</w:t>
            </w:r>
          </w:p>
          <w:p>
            <w:pPr>
              <w:spacing w:line="360" w:lineRule="auto"/>
              <w:ind w:firstLine="482" w:firstLineChars="200"/>
              <w:rPr>
                <w:rFonts w:hint="eastAsia" w:ascii="宋体" w:hAnsi="宋体"/>
                <w:b/>
                <w:color w:val="auto"/>
                <w:sz w:val="24"/>
              </w:rPr>
            </w:pPr>
            <w:r>
              <w:rPr>
                <w:rFonts w:hint="eastAsia" w:ascii="宋体" w:hAnsi="宋体"/>
                <w:b/>
                <w:color w:val="auto"/>
                <w:sz w:val="24"/>
              </w:rPr>
              <w:t>3.其它项目清单</w:t>
            </w:r>
          </w:p>
          <w:p>
            <w:pPr>
              <w:snapToGrid w:val="0"/>
              <w:spacing w:line="360" w:lineRule="auto"/>
              <w:ind w:firstLine="480" w:firstLineChars="200"/>
              <w:rPr>
                <w:rFonts w:hint="eastAsia" w:ascii="宋体" w:hAnsi="宋体"/>
                <w:b/>
                <w:color w:val="auto"/>
                <w:sz w:val="24"/>
              </w:rPr>
            </w:pPr>
            <w:r>
              <w:rPr>
                <w:rFonts w:hint="eastAsia" w:ascii="宋体" w:hAnsi="宋体"/>
                <w:color w:val="auto"/>
                <w:sz w:val="24"/>
              </w:rPr>
              <w:t>3.1暂列金额：</w:t>
            </w:r>
            <w:r>
              <w:rPr>
                <w:rFonts w:hint="eastAsia" w:ascii="宋体" w:hAnsi="宋体"/>
                <w:bCs/>
                <w:sz w:val="24"/>
                <w:szCs w:val="24"/>
              </w:rPr>
              <w:t>按最高投标限价中分部分项工程费</w:t>
            </w:r>
            <w:r>
              <w:rPr>
                <w:rFonts w:ascii="宋体" w:hAnsi="宋体"/>
                <w:bCs/>
                <w:sz w:val="24"/>
                <w:szCs w:val="24"/>
              </w:rPr>
              <w:t>*10%以金额计算，为不可竞争费，必须按招标清单中列明的金额进行报价。</w:t>
            </w:r>
          </w:p>
          <w:p>
            <w:pPr>
              <w:snapToGrid w:val="0"/>
              <w:spacing w:line="360" w:lineRule="auto"/>
              <w:ind w:firstLine="480" w:firstLineChars="200"/>
              <w:rPr>
                <w:rFonts w:hint="eastAsia" w:ascii="宋体" w:hAnsi="宋体" w:cs="宋体"/>
                <w:color w:val="auto"/>
                <w:kern w:val="0"/>
                <w:sz w:val="24"/>
              </w:rPr>
            </w:pPr>
            <w:r>
              <w:rPr>
                <w:rFonts w:hint="eastAsia" w:ascii="宋体" w:hAnsi="宋体"/>
                <w:color w:val="auto"/>
                <w:sz w:val="24"/>
              </w:rPr>
              <w:t>3.2</w:t>
            </w:r>
            <w:r>
              <w:rPr>
                <w:rFonts w:hint="eastAsia" w:ascii="宋体" w:hAnsi="宋体" w:cs="宋体"/>
                <w:color w:val="auto"/>
                <w:kern w:val="0"/>
                <w:sz w:val="24"/>
              </w:rPr>
              <w:t>暂估价</w:t>
            </w:r>
          </w:p>
          <w:p>
            <w:pPr>
              <w:spacing w:line="360" w:lineRule="auto"/>
              <w:ind w:firstLine="480" w:firstLineChars="200"/>
              <w:rPr>
                <w:rFonts w:hint="eastAsia" w:ascii="宋体" w:hAnsi="宋体" w:cs="宋体"/>
                <w:color w:val="auto"/>
                <w:kern w:val="0"/>
                <w:sz w:val="24"/>
              </w:rPr>
            </w:pPr>
            <w:r>
              <w:rPr>
                <w:rFonts w:hint="eastAsia" w:ascii="宋体" w:hAnsi="宋体"/>
                <w:color w:val="auto"/>
                <w:sz w:val="24"/>
              </w:rPr>
              <w:t>3.2.1</w:t>
            </w:r>
            <w:r>
              <w:rPr>
                <w:rFonts w:hint="eastAsia" w:ascii="宋体" w:hAnsi="宋体" w:cs="宋体"/>
                <w:color w:val="auto"/>
                <w:kern w:val="0"/>
                <w:sz w:val="24"/>
              </w:rPr>
              <w:t>材料（工程设备）暂估价：无。</w:t>
            </w:r>
          </w:p>
          <w:p>
            <w:pPr>
              <w:snapToGrid w:val="0"/>
              <w:spacing w:line="360" w:lineRule="auto"/>
              <w:ind w:firstLine="480" w:firstLineChars="200"/>
              <w:rPr>
                <w:rFonts w:hint="eastAsia" w:ascii="宋体" w:hAnsi="宋体" w:cs="宋体"/>
                <w:color w:val="auto"/>
                <w:kern w:val="0"/>
                <w:sz w:val="24"/>
              </w:rPr>
            </w:pPr>
            <w:r>
              <w:rPr>
                <w:rFonts w:hint="eastAsia" w:ascii="宋体" w:hAnsi="宋体"/>
                <w:color w:val="auto"/>
                <w:sz w:val="24"/>
              </w:rPr>
              <w:t>3.2.2</w:t>
            </w:r>
            <w:r>
              <w:rPr>
                <w:rFonts w:hint="eastAsia" w:ascii="宋体" w:hAnsi="宋体" w:cs="宋体"/>
                <w:color w:val="auto"/>
                <w:kern w:val="0"/>
                <w:sz w:val="24"/>
              </w:rPr>
              <w:t>专业工程暂估价：无。</w:t>
            </w:r>
          </w:p>
          <w:p>
            <w:pPr>
              <w:snapToGrid w:val="0"/>
              <w:spacing w:line="360" w:lineRule="auto"/>
              <w:ind w:firstLine="480" w:firstLineChars="200"/>
              <w:rPr>
                <w:rFonts w:hint="eastAsia" w:ascii="宋体" w:hAnsi="宋体" w:cs="宋体"/>
                <w:color w:val="auto"/>
                <w:kern w:val="0"/>
                <w:sz w:val="24"/>
              </w:rPr>
            </w:pPr>
            <w:r>
              <w:rPr>
                <w:rFonts w:hint="eastAsia" w:ascii="宋体" w:hAnsi="宋体"/>
                <w:color w:val="auto"/>
                <w:sz w:val="24"/>
              </w:rPr>
              <w:t>3.3</w:t>
            </w:r>
            <w:r>
              <w:rPr>
                <w:rFonts w:hint="eastAsia" w:ascii="宋体" w:hAnsi="宋体" w:cs="宋体"/>
                <w:color w:val="auto"/>
                <w:kern w:val="0"/>
                <w:sz w:val="24"/>
              </w:rPr>
              <w:t>计日：无；</w:t>
            </w:r>
          </w:p>
          <w:p>
            <w:pPr>
              <w:snapToGrid w:val="0"/>
              <w:spacing w:line="360" w:lineRule="auto"/>
              <w:ind w:firstLine="480" w:firstLineChars="200"/>
              <w:rPr>
                <w:rFonts w:hint="eastAsia" w:ascii="宋体" w:hAnsi="宋体" w:cs="宋体"/>
                <w:color w:val="auto"/>
                <w:kern w:val="0"/>
                <w:sz w:val="24"/>
              </w:rPr>
            </w:pPr>
            <w:r>
              <w:rPr>
                <w:rFonts w:hint="eastAsia" w:ascii="宋体" w:hAnsi="宋体"/>
                <w:color w:val="auto"/>
                <w:sz w:val="24"/>
              </w:rPr>
              <w:t>3.4</w:t>
            </w:r>
            <w:r>
              <w:rPr>
                <w:rFonts w:hint="eastAsia" w:ascii="宋体" w:hAnsi="宋体" w:cs="宋体"/>
                <w:color w:val="auto"/>
                <w:kern w:val="0"/>
                <w:sz w:val="24"/>
              </w:rPr>
              <w:t>总承包服务费：无。</w:t>
            </w:r>
          </w:p>
          <w:p>
            <w:pPr>
              <w:spacing w:line="360" w:lineRule="auto"/>
              <w:ind w:firstLine="482" w:firstLineChars="200"/>
              <w:rPr>
                <w:rFonts w:hint="eastAsia" w:ascii="宋体" w:hAnsi="宋体"/>
                <w:color w:val="auto"/>
                <w:sz w:val="24"/>
              </w:rPr>
            </w:pPr>
            <w:r>
              <w:rPr>
                <w:rFonts w:hint="eastAsia" w:ascii="宋体" w:hAnsi="宋体"/>
                <w:b/>
                <w:color w:val="auto"/>
                <w:sz w:val="24"/>
              </w:rPr>
              <w:t>4.规费和税金项目清单。此项为不可竞争费，必须按《江苏省建设工程费用定额》（2014）的费用标准及相关的规定计价。</w:t>
            </w:r>
          </w:p>
          <w:p>
            <w:pPr>
              <w:spacing w:line="360" w:lineRule="auto"/>
              <w:ind w:firstLine="480" w:firstLineChars="200"/>
              <w:rPr>
                <w:rFonts w:hint="eastAsia" w:ascii="宋体" w:hAnsi="宋体"/>
                <w:color w:val="auto"/>
                <w:sz w:val="24"/>
              </w:rPr>
            </w:pPr>
            <w:r>
              <w:rPr>
                <w:rFonts w:hint="eastAsia" w:ascii="宋体" w:hAnsi="宋体"/>
                <w:color w:val="auto"/>
                <w:sz w:val="24"/>
              </w:rPr>
              <w:t>4.1规费</w:t>
            </w:r>
          </w:p>
          <w:p>
            <w:pPr>
              <w:snapToGrid w:val="0"/>
              <w:spacing w:line="360" w:lineRule="auto"/>
              <w:ind w:firstLine="480" w:firstLineChars="200"/>
              <w:rPr>
                <w:rFonts w:hint="eastAsia" w:ascii="宋体" w:hAnsi="宋体" w:cs="宋体"/>
                <w:color w:val="auto"/>
                <w:kern w:val="0"/>
                <w:sz w:val="24"/>
              </w:rPr>
            </w:pPr>
            <w:r>
              <w:rPr>
                <w:rFonts w:hint="eastAsia" w:ascii="宋体" w:hAnsi="宋体"/>
                <w:color w:val="auto"/>
                <w:sz w:val="24"/>
              </w:rPr>
              <w:t>4.1.1</w:t>
            </w:r>
            <w:r>
              <w:rPr>
                <w:rFonts w:hint="eastAsia" w:ascii="宋体" w:hAnsi="宋体"/>
                <w:color w:val="auto"/>
                <w:sz w:val="24"/>
                <w:lang w:eastAsia="zh-CN"/>
              </w:rPr>
              <w:t>环境保护税：不计</w:t>
            </w:r>
            <w:r>
              <w:rPr>
                <w:rFonts w:hint="eastAsia" w:ascii="宋体" w:hAnsi="宋体" w:cs="宋体"/>
                <w:color w:val="auto"/>
                <w:kern w:val="0"/>
                <w:sz w:val="24"/>
              </w:rPr>
              <w:t>；</w:t>
            </w:r>
          </w:p>
          <w:p>
            <w:pPr>
              <w:snapToGrid w:val="0"/>
              <w:spacing w:line="360" w:lineRule="auto"/>
              <w:ind w:firstLine="480" w:firstLineChars="200"/>
              <w:rPr>
                <w:rFonts w:hint="eastAsia" w:ascii="宋体" w:hAnsi="宋体" w:cs="宋体"/>
                <w:color w:val="auto"/>
                <w:kern w:val="0"/>
                <w:sz w:val="24"/>
              </w:rPr>
            </w:pPr>
            <w:r>
              <w:rPr>
                <w:rFonts w:hint="eastAsia" w:ascii="宋体" w:hAnsi="宋体"/>
                <w:color w:val="auto"/>
                <w:sz w:val="24"/>
              </w:rPr>
              <w:t>4.1.2</w:t>
            </w:r>
            <w:r>
              <w:rPr>
                <w:rFonts w:hint="eastAsia" w:ascii="宋体" w:hAnsi="宋体" w:cs="宋体"/>
                <w:color w:val="auto"/>
                <w:kern w:val="0"/>
                <w:sz w:val="24"/>
              </w:rPr>
              <w:t>社会保险费；</w:t>
            </w:r>
          </w:p>
          <w:p>
            <w:pPr>
              <w:snapToGrid w:val="0"/>
              <w:spacing w:line="360" w:lineRule="auto"/>
              <w:ind w:firstLine="480" w:firstLineChars="200"/>
              <w:rPr>
                <w:rFonts w:hint="eastAsia" w:ascii="宋体" w:hAnsi="宋体" w:cs="宋体"/>
                <w:color w:val="auto"/>
                <w:kern w:val="0"/>
                <w:sz w:val="24"/>
              </w:rPr>
            </w:pPr>
            <w:r>
              <w:rPr>
                <w:rFonts w:hint="eastAsia" w:ascii="宋体" w:hAnsi="宋体"/>
                <w:color w:val="auto"/>
                <w:sz w:val="24"/>
              </w:rPr>
              <w:t>4.1.3</w:t>
            </w:r>
            <w:r>
              <w:rPr>
                <w:rFonts w:hint="eastAsia" w:ascii="宋体" w:hAnsi="宋体" w:cs="宋体"/>
                <w:color w:val="auto"/>
                <w:kern w:val="0"/>
                <w:sz w:val="24"/>
              </w:rPr>
              <w:t>住房公积金。</w:t>
            </w:r>
          </w:p>
          <w:p>
            <w:pPr>
              <w:spacing w:line="360" w:lineRule="auto"/>
              <w:ind w:firstLine="480" w:firstLineChars="200"/>
              <w:rPr>
                <w:rFonts w:hint="default" w:ascii="宋体" w:hAnsi="宋体" w:eastAsia="宋体" w:cs="宋体"/>
                <w:color w:val="auto"/>
                <w:kern w:val="0"/>
                <w:sz w:val="24"/>
                <w:lang w:val="en-US" w:eastAsia="zh-CN"/>
              </w:rPr>
            </w:pPr>
            <w:r>
              <w:rPr>
                <w:rFonts w:hint="eastAsia" w:ascii="宋体" w:hAnsi="宋体"/>
                <w:color w:val="auto"/>
                <w:sz w:val="24"/>
              </w:rPr>
              <w:t>4.2</w:t>
            </w:r>
            <w:r>
              <w:rPr>
                <w:rFonts w:hint="eastAsia" w:ascii="宋体" w:hAnsi="宋体" w:cs="宋体"/>
                <w:color w:val="auto"/>
                <w:kern w:val="0"/>
                <w:sz w:val="24"/>
              </w:rPr>
              <w:t>税金。</w:t>
            </w:r>
          </w:p>
          <w:p>
            <w:pPr>
              <w:spacing w:line="360" w:lineRule="auto"/>
              <w:ind w:firstLine="480" w:firstLineChars="200"/>
              <w:rPr>
                <w:rFonts w:hint="eastAsia" w:ascii="宋体" w:hAnsi="宋体" w:cs="宋体"/>
                <w:color w:val="auto"/>
                <w:kern w:val="0"/>
                <w:sz w:val="24"/>
              </w:rPr>
            </w:pPr>
          </w:p>
        </w:tc>
      </w:tr>
    </w:tbl>
    <w:p>
      <w:pPr>
        <w:rPr>
          <w:rFonts w:hint="eastAsia" w:ascii="宋体" w:hAnsi="宋体"/>
        </w:rPr>
      </w:pPr>
    </w:p>
    <w:sectPr>
      <w:headerReference r:id="rId3" w:type="default"/>
      <w:pgSz w:w="11906" w:h="16838"/>
      <w:pgMar w:top="1092" w:right="881" w:bottom="1256" w:left="945" w:header="567" w:footer="56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176" w:leftChars="84" w:firstLine="177" w:firstLineChars="40"/>
      <w:rPr>
        <w:rFonts w:hint="eastAsia"/>
        <w:b/>
        <w:kern w:val="0"/>
        <w:sz w:val="44"/>
        <w:szCs w:val="44"/>
      </w:rPr>
    </w:pPr>
    <w:r>
      <w:rPr>
        <w:rFonts w:hint="eastAsia"/>
        <w:b/>
        <w:kern w:val="0"/>
        <w:sz w:val="44"/>
        <w:szCs w:val="44"/>
      </w:rPr>
      <w:t>工程量清单总说明</w:t>
    </w:r>
  </w:p>
  <w:p>
    <w:pPr>
      <w:pStyle w:val="4"/>
      <w:ind w:left="176" w:leftChars="84" w:firstLine="120" w:firstLineChars="40"/>
      <w:jc w:val="right"/>
      <w:rPr>
        <w:rFonts w:hint="eastAsia"/>
        <w:b/>
        <w:kern w:val="0"/>
        <w:sz w:val="30"/>
        <w:szCs w:val="30"/>
      </w:rPr>
    </w:pPr>
  </w:p>
  <w:p>
    <w:pPr>
      <w:pStyle w:val="4"/>
      <w:ind w:left="176" w:leftChars="84" w:firstLine="336" w:firstLineChars="140"/>
      <w:jc w:val="right"/>
      <w:rPr>
        <w:sz w:val="24"/>
        <w:szCs w:val="24"/>
      </w:rPr>
    </w:pPr>
    <w:r>
      <w:rPr>
        <w:rFonts w:hint="eastAsia"/>
        <w:kern w:val="0"/>
        <w:sz w:val="24"/>
        <w:szCs w:val="24"/>
      </w:rPr>
      <w:t xml:space="preserve">第 </w:t>
    </w:r>
    <w:r>
      <w:rPr>
        <w:kern w:val="0"/>
        <w:sz w:val="24"/>
        <w:szCs w:val="24"/>
      </w:rPr>
      <w:fldChar w:fldCharType="begin"/>
    </w:r>
    <w:r>
      <w:rPr>
        <w:kern w:val="0"/>
        <w:sz w:val="24"/>
        <w:szCs w:val="24"/>
      </w:rPr>
      <w:instrText xml:space="preserve"> PAGE </w:instrText>
    </w:r>
    <w:r>
      <w:rPr>
        <w:kern w:val="0"/>
        <w:sz w:val="24"/>
        <w:szCs w:val="24"/>
      </w:rPr>
      <w:fldChar w:fldCharType="separate"/>
    </w:r>
    <w:r>
      <w:rPr>
        <w:kern w:val="0"/>
        <w:sz w:val="24"/>
        <w:szCs w:val="24"/>
        <w:lang/>
      </w:rPr>
      <w:t>1</w:t>
    </w:r>
    <w:r>
      <w:rPr>
        <w:kern w:val="0"/>
        <w:sz w:val="24"/>
        <w:szCs w:val="24"/>
      </w:rPr>
      <w:fldChar w:fldCharType="end"/>
    </w:r>
    <w:r>
      <w:rPr>
        <w:rFonts w:hint="eastAsia"/>
        <w:kern w:val="0"/>
        <w:sz w:val="24"/>
        <w:szCs w:val="24"/>
      </w:rPr>
      <w:t xml:space="preserve"> 页 共 </w:t>
    </w:r>
    <w:r>
      <w:rPr>
        <w:kern w:val="0"/>
        <w:sz w:val="24"/>
        <w:szCs w:val="24"/>
      </w:rPr>
      <w:fldChar w:fldCharType="begin"/>
    </w:r>
    <w:r>
      <w:rPr>
        <w:kern w:val="0"/>
        <w:sz w:val="24"/>
        <w:szCs w:val="24"/>
      </w:rPr>
      <w:instrText xml:space="preserve"> NUMPAGES </w:instrText>
    </w:r>
    <w:r>
      <w:rPr>
        <w:kern w:val="0"/>
        <w:sz w:val="24"/>
        <w:szCs w:val="24"/>
      </w:rPr>
      <w:fldChar w:fldCharType="separate"/>
    </w:r>
    <w:r>
      <w:rPr>
        <w:kern w:val="0"/>
        <w:sz w:val="24"/>
        <w:szCs w:val="24"/>
        <w:lang/>
      </w:rPr>
      <w:t>3</w:t>
    </w:r>
    <w:r>
      <w:rPr>
        <w:kern w:val="0"/>
        <w:sz w:val="24"/>
        <w:szCs w:val="24"/>
      </w:rPr>
      <w:fldChar w:fldCharType="end"/>
    </w:r>
    <w:r>
      <w:rPr>
        <w:rFonts w:hint="eastAsia"/>
        <w:kern w:val="0"/>
        <w:sz w:val="24"/>
        <w:szCs w:val="24"/>
      </w:rPr>
      <w:t xml:space="preserve"> 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CAC7BA"/>
    <w:multiLevelType w:val="singleLevel"/>
    <w:tmpl w:val="DCCAC7BA"/>
    <w:lvl w:ilvl="0" w:tentative="0">
      <w:start w:val="1"/>
      <w:numFmt w:val="decimal"/>
      <w:suff w:val="nothing"/>
      <w:lvlText w:val="%1．"/>
      <w:lvlJc w:val="left"/>
      <w:pPr>
        <w:ind w:left="0" w:firstLine="400"/>
      </w:pPr>
      <w:rPr>
        <w:rFonts w:hint="default"/>
      </w:rPr>
    </w:lvl>
  </w:abstractNum>
  <w:abstractNum w:abstractNumId="1">
    <w:nsid w:val="2590F4A2"/>
    <w:multiLevelType w:val="singleLevel"/>
    <w:tmpl w:val="2590F4A2"/>
    <w:lvl w:ilvl="0" w:tentative="0">
      <w:start w:val="1"/>
      <w:numFmt w:val="decimal"/>
      <w:suff w:val="nothing"/>
      <w:lvlText w:val="%1．"/>
      <w:lvlJc w:val="left"/>
      <w:pPr>
        <w:ind w:left="0" w:firstLine="400"/>
      </w:pPr>
      <w:rPr>
        <w:rFonts w:hint="default"/>
      </w:rPr>
    </w:lvl>
  </w:abstractNum>
  <w:abstractNum w:abstractNumId="2">
    <w:nsid w:val="7C16B9CE"/>
    <w:multiLevelType w:val="singleLevel"/>
    <w:tmpl w:val="7C16B9CE"/>
    <w:lvl w:ilvl="0" w:tentative="0">
      <w:start w:val="1"/>
      <w:numFmt w:val="decimal"/>
      <w:lvlText w:val="%1)"/>
      <w:lvlJc w:val="left"/>
      <w:pPr>
        <w:ind w:left="425" w:hanging="425"/>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jNWZlOTc1NDAyN2Q3MzA1MGRkY2I4YWIxYzM3NzgifQ=="/>
  </w:docVars>
  <w:rsids>
    <w:rsidRoot w:val="004D1285"/>
    <w:rsid w:val="00006BF7"/>
    <w:rsid w:val="000119A0"/>
    <w:rsid w:val="00020D2D"/>
    <w:rsid w:val="000305AC"/>
    <w:rsid w:val="000338E0"/>
    <w:rsid w:val="0004035C"/>
    <w:rsid w:val="000633AB"/>
    <w:rsid w:val="00063DF1"/>
    <w:rsid w:val="00067226"/>
    <w:rsid w:val="00071F1F"/>
    <w:rsid w:val="00095AE9"/>
    <w:rsid w:val="000A6E9C"/>
    <w:rsid w:val="000B7EEA"/>
    <w:rsid w:val="000C4E0E"/>
    <w:rsid w:val="000C7499"/>
    <w:rsid w:val="000D1D2E"/>
    <w:rsid w:val="000D4660"/>
    <w:rsid w:val="000E40DC"/>
    <w:rsid w:val="000E668B"/>
    <w:rsid w:val="000F056F"/>
    <w:rsid w:val="000F4512"/>
    <w:rsid w:val="000F65B6"/>
    <w:rsid w:val="0010315C"/>
    <w:rsid w:val="0010361B"/>
    <w:rsid w:val="00104079"/>
    <w:rsid w:val="00123ABB"/>
    <w:rsid w:val="00125CA1"/>
    <w:rsid w:val="001264C2"/>
    <w:rsid w:val="001307EF"/>
    <w:rsid w:val="00135F7D"/>
    <w:rsid w:val="001471DF"/>
    <w:rsid w:val="001534AC"/>
    <w:rsid w:val="001538ED"/>
    <w:rsid w:val="00167C8C"/>
    <w:rsid w:val="00170698"/>
    <w:rsid w:val="00173494"/>
    <w:rsid w:val="0017464B"/>
    <w:rsid w:val="001810E9"/>
    <w:rsid w:val="0019533B"/>
    <w:rsid w:val="001A408C"/>
    <w:rsid w:val="001A77F7"/>
    <w:rsid w:val="001B63A7"/>
    <w:rsid w:val="001C6061"/>
    <w:rsid w:val="001E5322"/>
    <w:rsid w:val="001E62E2"/>
    <w:rsid w:val="002046F2"/>
    <w:rsid w:val="00213AB4"/>
    <w:rsid w:val="00214256"/>
    <w:rsid w:val="00214D8A"/>
    <w:rsid w:val="00232C64"/>
    <w:rsid w:val="00243EED"/>
    <w:rsid w:val="00254D75"/>
    <w:rsid w:val="00264A7B"/>
    <w:rsid w:val="00283355"/>
    <w:rsid w:val="00283B70"/>
    <w:rsid w:val="00287974"/>
    <w:rsid w:val="00287EB8"/>
    <w:rsid w:val="00291D88"/>
    <w:rsid w:val="00294E10"/>
    <w:rsid w:val="00295B11"/>
    <w:rsid w:val="002B2B4B"/>
    <w:rsid w:val="002B2ED7"/>
    <w:rsid w:val="002B5E12"/>
    <w:rsid w:val="002B6D25"/>
    <w:rsid w:val="002B74F9"/>
    <w:rsid w:val="002D51BC"/>
    <w:rsid w:val="002D5942"/>
    <w:rsid w:val="002D722D"/>
    <w:rsid w:val="002E03C1"/>
    <w:rsid w:val="002E0AB7"/>
    <w:rsid w:val="002E3D56"/>
    <w:rsid w:val="002F1843"/>
    <w:rsid w:val="002F4DF4"/>
    <w:rsid w:val="003001BA"/>
    <w:rsid w:val="003036B6"/>
    <w:rsid w:val="00314081"/>
    <w:rsid w:val="00327F72"/>
    <w:rsid w:val="00331B3F"/>
    <w:rsid w:val="0034684F"/>
    <w:rsid w:val="00363835"/>
    <w:rsid w:val="003740A8"/>
    <w:rsid w:val="00377F2F"/>
    <w:rsid w:val="003B5394"/>
    <w:rsid w:val="003B5814"/>
    <w:rsid w:val="003C2976"/>
    <w:rsid w:val="003D02CE"/>
    <w:rsid w:val="003D1542"/>
    <w:rsid w:val="003E5D3E"/>
    <w:rsid w:val="003E7D8D"/>
    <w:rsid w:val="003F0B47"/>
    <w:rsid w:val="003F3E0F"/>
    <w:rsid w:val="004002BD"/>
    <w:rsid w:val="00402EAD"/>
    <w:rsid w:val="004038A3"/>
    <w:rsid w:val="00417632"/>
    <w:rsid w:val="0043147D"/>
    <w:rsid w:val="004346B3"/>
    <w:rsid w:val="00435D6E"/>
    <w:rsid w:val="004425EE"/>
    <w:rsid w:val="00443990"/>
    <w:rsid w:val="00447743"/>
    <w:rsid w:val="00466082"/>
    <w:rsid w:val="0047062A"/>
    <w:rsid w:val="00482434"/>
    <w:rsid w:val="00482627"/>
    <w:rsid w:val="00483E0A"/>
    <w:rsid w:val="004941CB"/>
    <w:rsid w:val="0049787D"/>
    <w:rsid w:val="004A3DB4"/>
    <w:rsid w:val="004A6E4F"/>
    <w:rsid w:val="004B5BE6"/>
    <w:rsid w:val="004C191C"/>
    <w:rsid w:val="004C314C"/>
    <w:rsid w:val="004C32CD"/>
    <w:rsid w:val="004C51E6"/>
    <w:rsid w:val="004C7203"/>
    <w:rsid w:val="004D1285"/>
    <w:rsid w:val="004D31D2"/>
    <w:rsid w:val="005052A7"/>
    <w:rsid w:val="005171D4"/>
    <w:rsid w:val="005275A0"/>
    <w:rsid w:val="00544FC2"/>
    <w:rsid w:val="0055784E"/>
    <w:rsid w:val="005644F5"/>
    <w:rsid w:val="00570939"/>
    <w:rsid w:val="005815CD"/>
    <w:rsid w:val="00594125"/>
    <w:rsid w:val="005956D9"/>
    <w:rsid w:val="005B2979"/>
    <w:rsid w:val="005B7600"/>
    <w:rsid w:val="005C463B"/>
    <w:rsid w:val="005D3A6E"/>
    <w:rsid w:val="005E6596"/>
    <w:rsid w:val="005E6E30"/>
    <w:rsid w:val="005F6692"/>
    <w:rsid w:val="006044E1"/>
    <w:rsid w:val="00606029"/>
    <w:rsid w:val="006076C1"/>
    <w:rsid w:val="00610193"/>
    <w:rsid w:val="00611914"/>
    <w:rsid w:val="00615B70"/>
    <w:rsid w:val="006204FF"/>
    <w:rsid w:val="0063212E"/>
    <w:rsid w:val="006552EC"/>
    <w:rsid w:val="00666AA2"/>
    <w:rsid w:val="006746F8"/>
    <w:rsid w:val="00682714"/>
    <w:rsid w:val="00683A20"/>
    <w:rsid w:val="006A7942"/>
    <w:rsid w:val="006A79C5"/>
    <w:rsid w:val="006C3A1D"/>
    <w:rsid w:val="006E00C4"/>
    <w:rsid w:val="006E1508"/>
    <w:rsid w:val="006F07C9"/>
    <w:rsid w:val="007139E9"/>
    <w:rsid w:val="00724987"/>
    <w:rsid w:val="007449FA"/>
    <w:rsid w:val="0075313E"/>
    <w:rsid w:val="00760DE7"/>
    <w:rsid w:val="00763576"/>
    <w:rsid w:val="007758F1"/>
    <w:rsid w:val="007829F0"/>
    <w:rsid w:val="00786C64"/>
    <w:rsid w:val="0079018F"/>
    <w:rsid w:val="007A025B"/>
    <w:rsid w:val="007A236D"/>
    <w:rsid w:val="007A55D4"/>
    <w:rsid w:val="007C28EF"/>
    <w:rsid w:val="007C44CF"/>
    <w:rsid w:val="007D3FF3"/>
    <w:rsid w:val="007E4CDD"/>
    <w:rsid w:val="008010DF"/>
    <w:rsid w:val="00803DAC"/>
    <w:rsid w:val="008156E5"/>
    <w:rsid w:val="00816306"/>
    <w:rsid w:val="00816BF7"/>
    <w:rsid w:val="0083134D"/>
    <w:rsid w:val="00836365"/>
    <w:rsid w:val="00845CD5"/>
    <w:rsid w:val="00860FD8"/>
    <w:rsid w:val="00873694"/>
    <w:rsid w:val="00873EF1"/>
    <w:rsid w:val="00874764"/>
    <w:rsid w:val="00876414"/>
    <w:rsid w:val="008849B6"/>
    <w:rsid w:val="008909D0"/>
    <w:rsid w:val="00893D26"/>
    <w:rsid w:val="008A0A91"/>
    <w:rsid w:val="008C418F"/>
    <w:rsid w:val="008C4C6A"/>
    <w:rsid w:val="008C6DC3"/>
    <w:rsid w:val="008D5D40"/>
    <w:rsid w:val="008D7751"/>
    <w:rsid w:val="008E2DB4"/>
    <w:rsid w:val="008E5294"/>
    <w:rsid w:val="008F1195"/>
    <w:rsid w:val="008F4136"/>
    <w:rsid w:val="008F5E3E"/>
    <w:rsid w:val="00902C47"/>
    <w:rsid w:val="0090321B"/>
    <w:rsid w:val="00905637"/>
    <w:rsid w:val="0091372B"/>
    <w:rsid w:val="00914F1E"/>
    <w:rsid w:val="00921BCC"/>
    <w:rsid w:val="00924713"/>
    <w:rsid w:val="00924FA1"/>
    <w:rsid w:val="00931129"/>
    <w:rsid w:val="0093123C"/>
    <w:rsid w:val="009537F4"/>
    <w:rsid w:val="00955E60"/>
    <w:rsid w:val="0095664F"/>
    <w:rsid w:val="009744A5"/>
    <w:rsid w:val="00981943"/>
    <w:rsid w:val="009829D8"/>
    <w:rsid w:val="009871C7"/>
    <w:rsid w:val="009A3868"/>
    <w:rsid w:val="009C2098"/>
    <w:rsid w:val="009D7DDA"/>
    <w:rsid w:val="009E1233"/>
    <w:rsid w:val="009E2017"/>
    <w:rsid w:val="009E42CD"/>
    <w:rsid w:val="009F4F7A"/>
    <w:rsid w:val="00A014CD"/>
    <w:rsid w:val="00A03E52"/>
    <w:rsid w:val="00A147EC"/>
    <w:rsid w:val="00A15384"/>
    <w:rsid w:val="00A2603C"/>
    <w:rsid w:val="00A31277"/>
    <w:rsid w:val="00A40FD5"/>
    <w:rsid w:val="00A42536"/>
    <w:rsid w:val="00A46CBA"/>
    <w:rsid w:val="00A47A97"/>
    <w:rsid w:val="00A5550B"/>
    <w:rsid w:val="00A57031"/>
    <w:rsid w:val="00A618BD"/>
    <w:rsid w:val="00A63942"/>
    <w:rsid w:val="00A71B7C"/>
    <w:rsid w:val="00A773B5"/>
    <w:rsid w:val="00AA2696"/>
    <w:rsid w:val="00AA5C7B"/>
    <w:rsid w:val="00AB7586"/>
    <w:rsid w:val="00AD0677"/>
    <w:rsid w:val="00AD3288"/>
    <w:rsid w:val="00AD5B78"/>
    <w:rsid w:val="00AE5B58"/>
    <w:rsid w:val="00B0610B"/>
    <w:rsid w:val="00B11D9B"/>
    <w:rsid w:val="00B30768"/>
    <w:rsid w:val="00B42397"/>
    <w:rsid w:val="00B4540C"/>
    <w:rsid w:val="00B57498"/>
    <w:rsid w:val="00B57FFB"/>
    <w:rsid w:val="00B66025"/>
    <w:rsid w:val="00B66242"/>
    <w:rsid w:val="00B70829"/>
    <w:rsid w:val="00B72B87"/>
    <w:rsid w:val="00B73DF7"/>
    <w:rsid w:val="00B779A0"/>
    <w:rsid w:val="00B8597F"/>
    <w:rsid w:val="00B94BD2"/>
    <w:rsid w:val="00BB3BA2"/>
    <w:rsid w:val="00BB4D00"/>
    <w:rsid w:val="00BB5124"/>
    <w:rsid w:val="00BC6480"/>
    <w:rsid w:val="00BC728D"/>
    <w:rsid w:val="00BC7E15"/>
    <w:rsid w:val="00BE0C96"/>
    <w:rsid w:val="00BF3961"/>
    <w:rsid w:val="00C0498C"/>
    <w:rsid w:val="00C072BF"/>
    <w:rsid w:val="00C07570"/>
    <w:rsid w:val="00C172F2"/>
    <w:rsid w:val="00C20C00"/>
    <w:rsid w:val="00C34FEF"/>
    <w:rsid w:val="00C352F7"/>
    <w:rsid w:val="00C40831"/>
    <w:rsid w:val="00C44C19"/>
    <w:rsid w:val="00C457EF"/>
    <w:rsid w:val="00C51A71"/>
    <w:rsid w:val="00C51CB6"/>
    <w:rsid w:val="00C55574"/>
    <w:rsid w:val="00C831B8"/>
    <w:rsid w:val="00C84556"/>
    <w:rsid w:val="00CA012F"/>
    <w:rsid w:val="00CA2E89"/>
    <w:rsid w:val="00CA7BD1"/>
    <w:rsid w:val="00CB50E7"/>
    <w:rsid w:val="00CB576B"/>
    <w:rsid w:val="00CE0005"/>
    <w:rsid w:val="00CE3EAD"/>
    <w:rsid w:val="00CE6361"/>
    <w:rsid w:val="00CE6F43"/>
    <w:rsid w:val="00CF0AAF"/>
    <w:rsid w:val="00D1197F"/>
    <w:rsid w:val="00D13EE6"/>
    <w:rsid w:val="00D30015"/>
    <w:rsid w:val="00D50E61"/>
    <w:rsid w:val="00D51B0D"/>
    <w:rsid w:val="00D56D38"/>
    <w:rsid w:val="00D63042"/>
    <w:rsid w:val="00D64CEE"/>
    <w:rsid w:val="00D6550F"/>
    <w:rsid w:val="00D67782"/>
    <w:rsid w:val="00D745FA"/>
    <w:rsid w:val="00D75128"/>
    <w:rsid w:val="00D7671C"/>
    <w:rsid w:val="00D805C4"/>
    <w:rsid w:val="00D814F3"/>
    <w:rsid w:val="00D84C8A"/>
    <w:rsid w:val="00D860F6"/>
    <w:rsid w:val="00D93104"/>
    <w:rsid w:val="00DA5F82"/>
    <w:rsid w:val="00DB1C56"/>
    <w:rsid w:val="00DB29CD"/>
    <w:rsid w:val="00DB55B5"/>
    <w:rsid w:val="00DC05DF"/>
    <w:rsid w:val="00DC5747"/>
    <w:rsid w:val="00DD2BEC"/>
    <w:rsid w:val="00DE2CC0"/>
    <w:rsid w:val="00DE5512"/>
    <w:rsid w:val="00E01234"/>
    <w:rsid w:val="00E038B8"/>
    <w:rsid w:val="00E05722"/>
    <w:rsid w:val="00E11B30"/>
    <w:rsid w:val="00E1552D"/>
    <w:rsid w:val="00E1622C"/>
    <w:rsid w:val="00E2643E"/>
    <w:rsid w:val="00E4766D"/>
    <w:rsid w:val="00E5442F"/>
    <w:rsid w:val="00E7073D"/>
    <w:rsid w:val="00E80458"/>
    <w:rsid w:val="00E812FD"/>
    <w:rsid w:val="00E81A74"/>
    <w:rsid w:val="00E84374"/>
    <w:rsid w:val="00E84ED3"/>
    <w:rsid w:val="00E935ED"/>
    <w:rsid w:val="00EB2B30"/>
    <w:rsid w:val="00EB4DC7"/>
    <w:rsid w:val="00EC5E4D"/>
    <w:rsid w:val="00EE530A"/>
    <w:rsid w:val="00EE55DC"/>
    <w:rsid w:val="00EE7D4A"/>
    <w:rsid w:val="00F00692"/>
    <w:rsid w:val="00F0166F"/>
    <w:rsid w:val="00F157F5"/>
    <w:rsid w:val="00F345EF"/>
    <w:rsid w:val="00F45944"/>
    <w:rsid w:val="00F46410"/>
    <w:rsid w:val="00F56174"/>
    <w:rsid w:val="00F76347"/>
    <w:rsid w:val="00F81A04"/>
    <w:rsid w:val="00F9022F"/>
    <w:rsid w:val="00F93EE8"/>
    <w:rsid w:val="00FA6755"/>
    <w:rsid w:val="00FA77E7"/>
    <w:rsid w:val="00FC1977"/>
    <w:rsid w:val="00FC3EAA"/>
    <w:rsid w:val="00FC40CA"/>
    <w:rsid w:val="00FC5597"/>
    <w:rsid w:val="00FD6B01"/>
    <w:rsid w:val="00FD74FF"/>
    <w:rsid w:val="00FE047E"/>
    <w:rsid w:val="00FF03B2"/>
    <w:rsid w:val="00FF676C"/>
    <w:rsid w:val="00FF72B6"/>
    <w:rsid w:val="00FF7B2E"/>
    <w:rsid w:val="00FF7DC3"/>
    <w:rsid w:val="019D228E"/>
    <w:rsid w:val="034B2C2D"/>
    <w:rsid w:val="0475016D"/>
    <w:rsid w:val="06F139D9"/>
    <w:rsid w:val="09751440"/>
    <w:rsid w:val="0C5D226C"/>
    <w:rsid w:val="0D39442D"/>
    <w:rsid w:val="0F8830B5"/>
    <w:rsid w:val="141F0F04"/>
    <w:rsid w:val="182E0B9A"/>
    <w:rsid w:val="19F964B3"/>
    <w:rsid w:val="1EA563E9"/>
    <w:rsid w:val="223B0745"/>
    <w:rsid w:val="2A7E0254"/>
    <w:rsid w:val="2ED25E15"/>
    <w:rsid w:val="32584D56"/>
    <w:rsid w:val="325E6B5C"/>
    <w:rsid w:val="33B16C43"/>
    <w:rsid w:val="35902B06"/>
    <w:rsid w:val="378A4834"/>
    <w:rsid w:val="3E370981"/>
    <w:rsid w:val="448A28AE"/>
    <w:rsid w:val="488F2F06"/>
    <w:rsid w:val="4A711A93"/>
    <w:rsid w:val="4C474598"/>
    <w:rsid w:val="4EC41E05"/>
    <w:rsid w:val="4F3102AD"/>
    <w:rsid w:val="508D296A"/>
    <w:rsid w:val="532271F2"/>
    <w:rsid w:val="54033DE4"/>
    <w:rsid w:val="64417DA1"/>
    <w:rsid w:val="66697313"/>
    <w:rsid w:val="6EAC6649"/>
    <w:rsid w:val="768B230B"/>
    <w:rsid w:val="77CD0E44"/>
    <w:rsid w:val="78895357"/>
    <w:rsid w:val="79E0392C"/>
    <w:rsid w:val="7A6D1D3E"/>
    <w:rsid w:val="7DC91414"/>
    <w:rsid w:val="7E7B4A9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tabs>
        <w:tab w:val="center" w:pos="4153"/>
        <w:tab w:val="right" w:pos="8306"/>
      </w:tabs>
      <w:snapToGrid w:val="0"/>
      <w:jc w:val="center"/>
    </w:pPr>
    <w:rPr>
      <w:sz w:val="18"/>
      <w:szCs w:val="18"/>
    </w:rPr>
  </w:style>
  <w:style w:type="table" w:styleId="6">
    <w:name w:val="Table Grid"/>
    <w:basedOn w:val="5"/>
    <w:uiPriority w:val="0"/>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List Paragraph"/>
    <w:basedOn w:val="1"/>
    <w:qFormat/>
    <w:uiPriority w:val="34"/>
    <w:pPr>
      <w:ind w:firstLine="420" w:firstLineChars="200"/>
    </w:pPr>
  </w:style>
  <w:style w:type="paragraph" w:customStyle="1" w:styleId="9">
    <w:name w:val="样式1"/>
    <w:basedOn w:val="4"/>
    <w:uiPriority w:val="0"/>
    <w:pPr>
      <w:pBdr>
        <w:bottom w:val="none" w:color="auto" w:sz="0" w:space="0"/>
      </w:pBdr>
      <w:ind w:left="176" w:leftChars="84" w:firstLine="177" w:firstLineChars="40"/>
    </w:pPr>
    <w:rPr>
      <w:b/>
      <w:kern w:val="0"/>
      <w:sz w:val="44"/>
      <w:szCs w:val="44"/>
    </w:rPr>
  </w:style>
  <w:style w:type="paragraph" w:customStyle="1" w:styleId="10">
    <w:name w:val="样式3"/>
    <w:basedOn w:val="4"/>
    <w:uiPriority w:val="0"/>
    <w:pPr>
      <w:pBdr>
        <w:bottom w:val="none" w:color="auto" w:sz="0" w:space="0"/>
      </w:pBdr>
      <w:ind w:left="176" w:leftChars="84" w:firstLine="177" w:firstLineChars="40"/>
    </w:pPr>
    <w:rPr>
      <w:b/>
      <w:kern w:val="0"/>
      <w:sz w:val="44"/>
      <w:szCs w:val="44"/>
    </w:rPr>
  </w:style>
  <w:style w:type="paragraph" w:customStyle="1" w:styleId="11">
    <w:name w:val="样式2"/>
    <w:basedOn w:val="4"/>
    <w:uiPriority w:val="0"/>
    <w:pPr>
      <w:pBdr>
        <w:bottom w:val="none" w:color="auto" w:sz="0" w:space="0"/>
      </w:pBdr>
      <w:ind w:left="176" w:leftChars="84" w:firstLine="96" w:firstLineChars="40"/>
      <w:jc w:val="both"/>
    </w:pPr>
    <w:rPr>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newtech</Company>
  <Pages>3</Pages>
  <Words>1114</Words>
  <Characters>1298</Characters>
  <Lines>23</Lines>
  <Paragraphs>6</Paragraphs>
  <TotalTime>0</TotalTime>
  <ScaleCrop>false</ScaleCrop>
  <LinksUpToDate>false</LinksUpToDate>
  <CharactersWithSpaces>1299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2009-04-06T10:09:00Z</dcterms:created>
  <dc:creator>系统管理员(admin)</dc:creator>
  <cp:lastModifiedBy>Administrator</cp:lastModifiedBy>
  <cp:lastPrinted>2009-03-28T10:25:00Z</cp:lastPrinted>
  <dcterms:modified xsi:type="dcterms:W3CDTF">2023-04-27T06:42:42Z</dcterms:modified>
  <dc:title>填 表 须 知</dc:title>
  <cp:revision>380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726E2E86995645F8961B0CCACE6C68BD_13</vt:lpwstr>
  </property>
</Properties>
</file>